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6E2" w:rsidRDefault="002636E2">
      <w:pPr>
        <w:spacing w:line="240" w:lineRule="auto"/>
        <w:jc w:val="left"/>
        <w:rPr>
          <w:rFonts w:ascii="Cambria" w:eastAsia="Cambria" w:hAnsi="Cambria" w:cs="Cambria"/>
          <w:b/>
          <w:sz w:val="28"/>
          <w:szCs w:val="28"/>
        </w:rPr>
      </w:pPr>
      <w:bookmarkStart w:id="0" w:name="_GoBack"/>
      <w:bookmarkEnd w:id="0"/>
    </w:p>
    <w:p w:rsidR="002636E2" w:rsidRDefault="00863DD5">
      <w:pPr>
        <w:spacing w:after="120" w:line="240" w:lineRule="auto"/>
        <w:jc w:val="left"/>
        <w:rPr>
          <w:rFonts w:ascii="Cambria" w:eastAsia="Cambria" w:hAnsi="Cambria" w:cs="Cambria"/>
          <w:b/>
          <w:sz w:val="18"/>
          <w:szCs w:val="18"/>
        </w:rPr>
      </w:pPr>
      <w:r>
        <w:rPr>
          <w:rFonts w:ascii="Cambria" w:eastAsia="Cambria" w:hAnsi="Cambria" w:cs="Cambria"/>
          <w:b/>
          <w:sz w:val="56"/>
          <w:szCs w:val="56"/>
        </w:rPr>
        <w:t>[</w:t>
      </w:r>
      <w:proofErr w:type="spellStart"/>
      <w:r>
        <w:rPr>
          <w:rFonts w:ascii="Cambria" w:eastAsia="Cambria" w:hAnsi="Cambria" w:cs="Cambria"/>
          <w:b/>
          <w:sz w:val="56"/>
          <w:szCs w:val="56"/>
        </w:rPr>
        <w:t>Sipuleucel</w:t>
      </w:r>
      <w:proofErr w:type="spellEnd"/>
      <w:r>
        <w:rPr>
          <w:rFonts w:ascii="Cambria" w:eastAsia="Cambria" w:hAnsi="Cambria" w:cs="Cambria"/>
          <w:b/>
          <w:sz w:val="56"/>
          <w:szCs w:val="56"/>
        </w:rPr>
        <w:t>-T: A success in vaccine-based cancer therapy]</w:t>
      </w:r>
    </w:p>
    <w:p w:rsidR="002636E2" w:rsidRDefault="00863DD5">
      <w:pPr>
        <w:spacing w:line="240" w:lineRule="auto"/>
        <w:jc w:val="left"/>
        <w:rPr>
          <w:b/>
          <w:sz w:val="20"/>
          <w:szCs w:val="20"/>
        </w:rPr>
      </w:pPr>
      <w:r>
        <w:rPr>
          <w:sz w:val="18"/>
          <w:szCs w:val="18"/>
        </w:rPr>
        <w:br/>
        <w:t xml:space="preserve">Department of Microbiology and Molecular Genetics, Oklahoma State University, Stillwater, OK 74078, USA </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304800</wp:posOffset>
                </wp:positionV>
                <wp:extent cx="5968365" cy="291465"/>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2366580" y="3639030"/>
                          <a:ext cx="5958840" cy="281940"/>
                        </a:xfrm>
                        <a:prstGeom prst="rect">
                          <a:avLst/>
                        </a:prstGeom>
                        <a:noFill/>
                        <a:ln>
                          <a:noFill/>
                        </a:ln>
                      </wps:spPr>
                      <wps:txbx>
                        <w:txbxContent>
                          <w:p w:rsidR="002636E2" w:rsidRDefault="00863DD5">
                            <w:pPr>
                              <w:spacing w:after="0" w:line="240" w:lineRule="auto"/>
                              <w:jc w:val="left"/>
                              <w:textDirection w:val="btLr"/>
                            </w:pPr>
                            <w:r>
                              <w:rPr>
                                <w:b/>
                                <w:color w:val="000000"/>
                                <w:sz w:val="14"/>
                              </w:rPr>
                              <w:t xml:space="preserve">Key Words: </w:t>
                            </w:r>
                          </w:p>
                          <w:p w:rsidR="002636E2" w:rsidRDefault="00863DD5">
                            <w:pPr>
                              <w:spacing w:after="0" w:line="240" w:lineRule="auto"/>
                              <w:jc w:val="left"/>
                              <w:textDirection w:val="btLr"/>
                            </w:pPr>
                            <w:r>
                              <w:rPr>
                                <w:color w:val="000000"/>
                                <w:sz w:val="14"/>
                              </w:rPr>
                              <w:t xml:space="preserve">Pancreatic cancer, vaccine, cancer therapy, </w:t>
                            </w:r>
                            <w:proofErr w:type="spellStart"/>
                            <w:r>
                              <w:rPr>
                                <w:color w:val="000000"/>
                                <w:sz w:val="14"/>
                              </w:rPr>
                              <w:t>mCRPC</w:t>
                            </w:r>
                            <w:proofErr w:type="spellEnd"/>
                          </w:p>
                          <w:p w:rsidR="002636E2" w:rsidRDefault="002636E2">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5968365" cy="29146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68365" cy="291465"/>
                        </a:xfrm>
                        <a:prstGeom prst="rect"/>
                        <a:ln/>
                      </pic:spPr>
                    </pic:pic>
                  </a:graphicData>
                </a:graphic>
              </wp:anchor>
            </w:drawing>
          </mc:Fallback>
        </mc:AlternateContent>
      </w:r>
    </w:p>
    <w:p w:rsidR="002636E2" w:rsidRDefault="00863DD5">
      <w:pPr>
        <w:pBdr>
          <w:top w:val="single" w:sz="12" w:space="1" w:color="000000"/>
          <w:bottom w:val="single" w:sz="12" w:space="1" w:color="000000"/>
        </w:pBdr>
        <w:spacing w:line="240" w:lineRule="auto"/>
        <w:jc w:val="both"/>
        <w:rPr>
          <w:b/>
          <w:sz w:val="20"/>
          <w:szCs w:val="20"/>
        </w:rPr>
      </w:pPr>
      <w:proofErr w:type="spellStart"/>
      <w:r>
        <w:rPr>
          <w:color w:val="000000"/>
        </w:rPr>
        <w:t>Sipuleucel</w:t>
      </w:r>
      <w:proofErr w:type="spellEnd"/>
      <w:r>
        <w:rPr>
          <w:color w:val="000000"/>
        </w:rPr>
        <w:t>-T is an immunotherapy treatment for castration-res</w:t>
      </w:r>
      <w:r w:rsidR="0068575F">
        <w:rPr>
          <w:color w:val="000000"/>
        </w:rPr>
        <w:t>istant prostate cancer (</w:t>
      </w:r>
      <w:proofErr w:type="spellStart"/>
      <w:r w:rsidR="0068575F">
        <w:rPr>
          <w:color w:val="000000"/>
        </w:rPr>
        <w:t>mCRPC</w:t>
      </w:r>
      <w:proofErr w:type="spellEnd"/>
      <w:r w:rsidR="0068575F">
        <w:rPr>
          <w:color w:val="000000"/>
        </w:rPr>
        <w:t>). The</w:t>
      </w:r>
      <w:r>
        <w:rPr>
          <w:color w:val="000000"/>
        </w:rPr>
        <w:t xml:space="preserve"> therapy was approved by the FDC in 2009, the use of this vaccine-based treatment shows promising results in increasing life expectancy for men diagnosed with </w:t>
      </w:r>
      <w:proofErr w:type="spellStart"/>
      <w:r>
        <w:rPr>
          <w:color w:val="000000"/>
        </w:rPr>
        <w:t>m</w:t>
      </w:r>
      <w:r>
        <w:rPr>
          <w:color w:val="000000"/>
        </w:rPr>
        <w:t>CRPC</w:t>
      </w:r>
      <w:proofErr w:type="spellEnd"/>
      <w:r>
        <w:rPr>
          <w:color w:val="000000"/>
        </w:rPr>
        <w:t xml:space="preserve">. </w:t>
      </w:r>
      <w:r w:rsidR="0068575F">
        <w:rPr>
          <w:color w:val="000000"/>
        </w:rPr>
        <w:t xml:space="preserve">Immunotherapies aim to improve immune responses against cancer cells. The goal of </w:t>
      </w:r>
      <w:proofErr w:type="spellStart"/>
      <w:r w:rsidR="0068575F">
        <w:rPr>
          <w:color w:val="000000"/>
        </w:rPr>
        <w:t>Sipuleucel</w:t>
      </w:r>
      <w:proofErr w:type="spellEnd"/>
      <w:r w:rsidR="0068575F">
        <w:rPr>
          <w:color w:val="000000"/>
        </w:rPr>
        <w:t xml:space="preserve">-T is to improve immune responses and increase the overall survival rate (OS). </w:t>
      </w:r>
      <w:r>
        <w:rPr>
          <w:color w:val="000000"/>
        </w:rPr>
        <w:t>An early double-blind trial (IMPACT) showed the life-prolonging effect of the treatment</w:t>
      </w:r>
      <w:r>
        <w:t>. Th</w:t>
      </w:r>
      <w:r>
        <w:rPr>
          <w:color w:val="000000"/>
        </w:rPr>
        <w:t xml:space="preserve">ere was an approximate 22% reduction in risk of death in </w:t>
      </w:r>
      <w:proofErr w:type="spellStart"/>
      <w:r>
        <w:rPr>
          <w:color w:val="000000"/>
        </w:rPr>
        <w:t>Sipuleucel</w:t>
      </w:r>
      <w:proofErr w:type="spellEnd"/>
      <w:r>
        <w:rPr>
          <w:color w:val="000000"/>
        </w:rPr>
        <w:t>-T patients, compared with those in the placebo group. The researchers determined overall su</w:t>
      </w:r>
      <w:r>
        <w:rPr>
          <w:color w:val="000000"/>
        </w:rPr>
        <w:t xml:space="preserve">rvival and adjusted for base levels of serum prostate specific antigen (PSA) as well as lactate dehydrogenase. </w:t>
      </w:r>
      <w:proofErr w:type="spellStart"/>
      <w:r>
        <w:rPr>
          <w:color w:val="000000"/>
        </w:rPr>
        <w:t>Sipuleucel</w:t>
      </w:r>
      <w:proofErr w:type="spellEnd"/>
      <w:r>
        <w:rPr>
          <w:color w:val="000000"/>
        </w:rPr>
        <w:t>-T patients also reported more adverse events (chills, fever, headache) compared to the placebo group. In the years following the appro</w:t>
      </w:r>
      <w:r>
        <w:rPr>
          <w:color w:val="000000"/>
        </w:rPr>
        <w:t xml:space="preserve">val of this therapy, data collected in PROCEED, a registry of men with </w:t>
      </w:r>
      <w:proofErr w:type="spellStart"/>
      <w:r>
        <w:rPr>
          <w:color w:val="000000"/>
        </w:rPr>
        <w:t>mCRPC</w:t>
      </w:r>
      <w:proofErr w:type="spellEnd"/>
      <w:r>
        <w:rPr>
          <w:color w:val="000000"/>
        </w:rPr>
        <w:t>, support these origina</w:t>
      </w:r>
      <w:r w:rsidR="0068575F">
        <w:rPr>
          <w:color w:val="000000"/>
        </w:rPr>
        <w:t>l findings. The OS</w:t>
      </w:r>
      <w:r>
        <w:rPr>
          <w:color w:val="000000"/>
        </w:rPr>
        <w:t xml:space="preserve"> rate did decrease compared to the original trial study; this can be attributed to the differences in criteria used to f</w:t>
      </w:r>
      <w:r>
        <w:rPr>
          <w:color w:val="000000"/>
        </w:rPr>
        <w:t xml:space="preserve">ind eligible patients for the trial and the broader types of patients added to the registry. Another study (2015) concluded that </w:t>
      </w:r>
      <w:proofErr w:type="spellStart"/>
      <w:r>
        <w:rPr>
          <w:color w:val="000000"/>
        </w:rPr>
        <w:t>Sipuleucel</w:t>
      </w:r>
      <w:proofErr w:type="spellEnd"/>
      <w:r>
        <w:rPr>
          <w:color w:val="000000"/>
        </w:rPr>
        <w:t xml:space="preserve">-T could be administered alongside </w:t>
      </w:r>
      <w:proofErr w:type="spellStart"/>
      <w:r>
        <w:rPr>
          <w:color w:val="000000"/>
        </w:rPr>
        <w:t>abiraterone</w:t>
      </w:r>
      <w:proofErr w:type="spellEnd"/>
      <w:r>
        <w:rPr>
          <w:color w:val="000000"/>
        </w:rPr>
        <w:t xml:space="preserve"> acetate (AA) without altering immune parameters that correlate with </w:t>
      </w:r>
      <w:proofErr w:type="spellStart"/>
      <w:r>
        <w:rPr>
          <w:color w:val="000000"/>
        </w:rPr>
        <w:t>Si</w:t>
      </w:r>
      <w:r>
        <w:rPr>
          <w:color w:val="000000"/>
        </w:rPr>
        <w:t>puleucel</w:t>
      </w:r>
      <w:proofErr w:type="spellEnd"/>
      <w:r>
        <w:rPr>
          <w:color w:val="000000"/>
        </w:rPr>
        <w:t xml:space="preserve">-T’s clinical benefit. Each of these findings support the use of </w:t>
      </w:r>
      <w:proofErr w:type="spellStart"/>
      <w:r>
        <w:rPr>
          <w:color w:val="000000"/>
        </w:rPr>
        <w:t>Sipuleucel</w:t>
      </w:r>
      <w:proofErr w:type="spellEnd"/>
      <w:r>
        <w:rPr>
          <w:color w:val="000000"/>
        </w:rPr>
        <w:t xml:space="preserve">-T as a life-prolonging therapy for men with </w:t>
      </w:r>
      <w:proofErr w:type="spellStart"/>
      <w:r>
        <w:rPr>
          <w:color w:val="000000"/>
        </w:rPr>
        <w:t>mCRPC</w:t>
      </w:r>
      <w:proofErr w:type="spellEnd"/>
      <w:r>
        <w:rPr>
          <w:color w:val="000000"/>
        </w:rPr>
        <w:t>.</w:t>
      </w:r>
      <w:r w:rsidR="0068575F">
        <w:rPr>
          <w:color w:val="000000"/>
        </w:rPr>
        <w:t xml:space="preserve"> In combination with other forms of cancer treatment, </w:t>
      </w:r>
      <w:proofErr w:type="spellStart"/>
      <w:r w:rsidR="0068575F">
        <w:rPr>
          <w:color w:val="000000"/>
        </w:rPr>
        <w:t>Sipuleucel</w:t>
      </w:r>
      <w:proofErr w:type="spellEnd"/>
      <w:r w:rsidR="0068575F">
        <w:rPr>
          <w:color w:val="000000"/>
        </w:rPr>
        <w:t xml:space="preserve">-T seems to provide a safe and effective increase in immune cell responses. </w:t>
      </w:r>
      <w:r w:rsidR="00EF6427">
        <w:rPr>
          <w:color w:val="000000"/>
        </w:rPr>
        <w:t xml:space="preserve">As this field grows, our understanding of the relationships between immune-based vaccines and the other treatment methods should be further studied. </w:t>
      </w:r>
    </w:p>
    <w:p w:rsidR="002636E2" w:rsidRDefault="002636E2">
      <w:pPr>
        <w:spacing w:after="0" w:line="240" w:lineRule="auto"/>
        <w:jc w:val="left"/>
        <w:rPr>
          <w:b/>
          <w:sz w:val="18"/>
          <w:szCs w:val="18"/>
        </w:rPr>
      </w:pPr>
    </w:p>
    <w:p w:rsidR="002636E2" w:rsidRDefault="002636E2">
      <w:pPr>
        <w:spacing w:after="0" w:line="240" w:lineRule="auto"/>
        <w:jc w:val="left"/>
        <w:rPr>
          <w:b/>
          <w:sz w:val="22"/>
          <w:szCs w:val="22"/>
        </w:rPr>
        <w:sectPr w:rsidR="002636E2">
          <w:headerReference w:type="default" r:id="rId9"/>
          <w:footerReference w:type="default" r:id="rId10"/>
          <w:pgSz w:w="12240" w:h="15840"/>
          <w:pgMar w:top="1440" w:right="1440" w:bottom="1440" w:left="1440" w:header="2016" w:footer="432" w:gutter="0"/>
          <w:pgNumType w:start="1"/>
          <w:cols w:space="720"/>
        </w:sectPr>
      </w:pPr>
    </w:p>
    <w:p w:rsidR="002636E2" w:rsidRDefault="00863DD5">
      <w:pPr>
        <w:spacing w:after="0" w:line="240" w:lineRule="auto"/>
        <w:jc w:val="left"/>
        <w:rPr>
          <w:b/>
          <w:sz w:val="20"/>
          <w:szCs w:val="20"/>
        </w:rPr>
      </w:pPr>
      <w:r>
        <w:rPr>
          <w:b/>
          <w:sz w:val="20"/>
          <w:szCs w:val="20"/>
        </w:rPr>
        <w:lastRenderedPageBreak/>
        <w:t>Introduction</w:t>
      </w:r>
    </w:p>
    <w:p w:rsidR="002636E2" w:rsidRDefault="00863DD5">
      <w:pPr>
        <w:spacing w:after="0" w:line="240" w:lineRule="auto"/>
        <w:jc w:val="both"/>
      </w:pPr>
      <w:r>
        <w:tab/>
      </w:r>
      <w:r w:rsidR="00762F53">
        <w:t xml:space="preserve">Immunotherapy is a biological cancer treatment that works to aid the immune system in fighting cancer. Cancer cells can evade immune system responses, and immunotherapy aims to increase the body’s ability to detect and destroy cancer cells. There are multiple different types of immunotherapies, including immune checkpoint inhibitors, t-cell transfer therapy, treatment vaccines, immune system modulators, </w:t>
      </w:r>
      <w:proofErr w:type="spellStart"/>
      <w:r w:rsidR="00762F53">
        <w:t>etc</w:t>
      </w:r>
      <w:proofErr w:type="spellEnd"/>
      <w:r w:rsidR="009433C4">
        <w:t xml:space="preserve"> (3)</w:t>
      </w:r>
      <w:r w:rsidR="00762F53">
        <w:t xml:space="preserve">. </w:t>
      </w:r>
      <w:proofErr w:type="spellStart"/>
      <w:r w:rsidR="00762F53">
        <w:t>Sipuleucel</w:t>
      </w:r>
      <w:proofErr w:type="spellEnd"/>
      <w:r w:rsidR="00762F53">
        <w:t xml:space="preserve">-T is a vaccine-based immunotherapy </w:t>
      </w:r>
      <w:r w:rsidR="00762F53">
        <w:lastRenderedPageBreak/>
        <w:t>designed to treat metastatic castration-resistant prostate cancer (</w:t>
      </w:r>
      <w:proofErr w:type="spellStart"/>
      <w:r w:rsidR="00762F53">
        <w:t>mCRPC</w:t>
      </w:r>
      <w:proofErr w:type="spellEnd"/>
      <w:r w:rsidR="00762F53">
        <w:t xml:space="preserve">), </w:t>
      </w:r>
      <w:r>
        <w:rPr>
          <w:color w:val="000000"/>
        </w:rPr>
        <w:t>Prostate cancer is the second leading cause of death from cancer among men in the United Stat</w:t>
      </w:r>
      <w:r w:rsidR="00762F53">
        <w:rPr>
          <w:color w:val="000000"/>
        </w:rPr>
        <w:t xml:space="preserve">es. For men </w:t>
      </w:r>
      <w:r w:rsidR="009433C4">
        <w:rPr>
          <w:color w:val="000000"/>
        </w:rPr>
        <w:t xml:space="preserve">with </w:t>
      </w:r>
      <w:proofErr w:type="spellStart"/>
      <w:r w:rsidR="009433C4">
        <w:rPr>
          <w:color w:val="000000"/>
        </w:rPr>
        <w:t>mCRPC</w:t>
      </w:r>
      <w:proofErr w:type="spellEnd"/>
      <w:r>
        <w:rPr>
          <w:color w:val="000000"/>
        </w:rPr>
        <w:t>, the median survival has range</w:t>
      </w:r>
      <w:r w:rsidR="009433C4">
        <w:rPr>
          <w:color w:val="000000"/>
        </w:rPr>
        <w:t>d between 12.2 to 21.7 months (4</w:t>
      </w:r>
      <w:r>
        <w:rPr>
          <w:color w:val="000000"/>
        </w:rPr>
        <w:t>). There are multiple new tr</w:t>
      </w:r>
      <w:r>
        <w:rPr>
          <w:color w:val="000000"/>
        </w:rPr>
        <w:t xml:space="preserve">eatments for </w:t>
      </w:r>
      <w:proofErr w:type="spellStart"/>
      <w:r>
        <w:rPr>
          <w:color w:val="000000"/>
        </w:rPr>
        <w:t>mCRPC</w:t>
      </w:r>
      <w:proofErr w:type="spellEnd"/>
      <w:r>
        <w:rPr>
          <w:color w:val="000000"/>
        </w:rPr>
        <w:t>, including androgen signaling inhibitors, radiopharmaceuticals,</w:t>
      </w:r>
      <w:r w:rsidR="009433C4">
        <w:rPr>
          <w:color w:val="000000"/>
        </w:rPr>
        <w:t xml:space="preserve"> and cytotoxic chemotherapies (5</w:t>
      </w:r>
      <w:r>
        <w:rPr>
          <w:color w:val="000000"/>
        </w:rPr>
        <w:t xml:space="preserve">). Considering the number of available therapies, it is important to understand how they can work together to inhibit </w:t>
      </w:r>
      <w:proofErr w:type="spellStart"/>
      <w:r>
        <w:rPr>
          <w:color w:val="000000"/>
        </w:rPr>
        <w:lastRenderedPageBreak/>
        <w:t>mCRPC</w:t>
      </w:r>
      <w:proofErr w:type="spellEnd"/>
      <w:r>
        <w:rPr>
          <w:color w:val="000000"/>
        </w:rPr>
        <w:t xml:space="preserve"> progression. </w:t>
      </w:r>
      <w:proofErr w:type="spellStart"/>
      <w:r>
        <w:rPr>
          <w:color w:val="000000"/>
        </w:rPr>
        <w:t>Sipul</w:t>
      </w:r>
      <w:r>
        <w:rPr>
          <w:color w:val="000000"/>
        </w:rPr>
        <w:t>eucel</w:t>
      </w:r>
      <w:proofErr w:type="spellEnd"/>
      <w:r>
        <w:rPr>
          <w:color w:val="000000"/>
        </w:rPr>
        <w:t>-T is a cellular immunotherapy, a therapeutic cancer vaccine, containing autologous peripheral-blood mononuclear cells (PMBCs) as well as antigen presenting cells (APCs) activated with recombinant fusion protein (PA2024). PA2024 contains a prostatic a</w:t>
      </w:r>
      <w:r>
        <w:rPr>
          <w:color w:val="000000"/>
        </w:rPr>
        <w:t>cid phosphatase fused to an immune cel</w:t>
      </w:r>
      <w:r w:rsidR="009433C4">
        <w:rPr>
          <w:color w:val="000000"/>
        </w:rPr>
        <w:t>l activator, as well as a PSA (4</w:t>
      </w:r>
      <w:r>
        <w:rPr>
          <w:color w:val="000000"/>
        </w:rPr>
        <w:t xml:space="preserve">). The vaccine increases overall </w:t>
      </w:r>
      <w:r w:rsidR="00C617A2">
        <w:rPr>
          <w:color w:val="000000"/>
        </w:rPr>
        <w:t>humoral immunity (1), and it has</w:t>
      </w:r>
      <w:r>
        <w:rPr>
          <w:color w:val="000000"/>
        </w:rPr>
        <w:t xml:space="preserve"> be</w:t>
      </w:r>
      <w:r w:rsidR="00C617A2">
        <w:rPr>
          <w:color w:val="000000"/>
        </w:rPr>
        <w:t>en</w:t>
      </w:r>
      <w:r>
        <w:rPr>
          <w:color w:val="000000"/>
        </w:rPr>
        <w:t xml:space="preserve"> used in conjunction with </w:t>
      </w:r>
      <w:proofErr w:type="spellStart"/>
      <w:r>
        <w:rPr>
          <w:color w:val="000000"/>
        </w:rPr>
        <w:t>Abiraterone</w:t>
      </w:r>
      <w:proofErr w:type="spellEnd"/>
      <w:r>
        <w:rPr>
          <w:color w:val="000000"/>
        </w:rPr>
        <w:t xml:space="preserve"> Acetate,</w:t>
      </w:r>
      <w:r w:rsidR="009433C4">
        <w:rPr>
          <w:color w:val="000000"/>
        </w:rPr>
        <w:t xml:space="preserve"> a hormone based chemotherapy (5</w:t>
      </w:r>
      <w:r>
        <w:rPr>
          <w:color w:val="000000"/>
        </w:rPr>
        <w:t xml:space="preserve">). </w:t>
      </w:r>
      <w:r w:rsidR="009357B8">
        <w:rPr>
          <w:color w:val="000000"/>
        </w:rPr>
        <w:t xml:space="preserve">Combinations of treatments can potentially increase life expectantly and improve quality of life for men with </w:t>
      </w:r>
      <w:proofErr w:type="spellStart"/>
      <w:r w:rsidR="009357B8">
        <w:rPr>
          <w:color w:val="000000"/>
        </w:rPr>
        <w:t>mCRPC</w:t>
      </w:r>
      <w:proofErr w:type="spellEnd"/>
      <w:r w:rsidR="009357B8">
        <w:rPr>
          <w:color w:val="000000"/>
        </w:rPr>
        <w:t xml:space="preserve">. </w:t>
      </w:r>
      <w:r>
        <w:rPr>
          <w:color w:val="000000"/>
        </w:rPr>
        <w:t xml:space="preserve">Since </w:t>
      </w:r>
      <w:proofErr w:type="spellStart"/>
      <w:r>
        <w:rPr>
          <w:color w:val="000000"/>
        </w:rPr>
        <w:t>Sipuleucel</w:t>
      </w:r>
      <w:proofErr w:type="spellEnd"/>
      <w:r>
        <w:rPr>
          <w:color w:val="000000"/>
        </w:rPr>
        <w:t>-T is a relatively ne</w:t>
      </w:r>
      <w:r>
        <w:rPr>
          <w:color w:val="000000"/>
        </w:rPr>
        <w:t xml:space="preserve">w therapy it is important to understand the long term impact of this treatment. The PROCEED registry tracks patients who have undergone this treatment, and it has shed light on the effects of </w:t>
      </w:r>
      <w:proofErr w:type="spellStart"/>
      <w:r>
        <w:rPr>
          <w:color w:val="000000"/>
        </w:rPr>
        <w:t>Sipuleucel</w:t>
      </w:r>
      <w:proofErr w:type="spellEnd"/>
      <w:r>
        <w:rPr>
          <w:color w:val="000000"/>
        </w:rPr>
        <w:t>-T in a non-trial setting</w:t>
      </w:r>
      <w:r w:rsidR="009357B8">
        <w:rPr>
          <w:color w:val="000000"/>
        </w:rPr>
        <w:t xml:space="preserve"> (2)</w:t>
      </w:r>
      <w:r>
        <w:rPr>
          <w:color w:val="000000"/>
        </w:rPr>
        <w:t>. </w:t>
      </w:r>
      <w:r w:rsidR="009357B8">
        <w:rPr>
          <w:color w:val="000000"/>
        </w:rPr>
        <w:t xml:space="preserve">This vaccine treatment is showing promising results in treating </w:t>
      </w:r>
      <w:proofErr w:type="spellStart"/>
      <w:r w:rsidR="009357B8">
        <w:rPr>
          <w:color w:val="000000"/>
        </w:rPr>
        <w:t>mCRPC</w:t>
      </w:r>
      <w:proofErr w:type="spellEnd"/>
      <w:r w:rsidR="009357B8">
        <w:rPr>
          <w:color w:val="000000"/>
        </w:rPr>
        <w:t xml:space="preserve">. </w:t>
      </w:r>
    </w:p>
    <w:p w:rsidR="002636E2" w:rsidRDefault="002636E2">
      <w:pPr>
        <w:spacing w:after="0" w:line="240" w:lineRule="auto"/>
        <w:ind w:firstLine="720"/>
        <w:jc w:val="left"/>
        <w:rPr>
          <w:sz w:val="20"/>
          <w:szCs w:val="20"/>
        </w:rPr>
      </w:pPr>
    </w:p>
    <w:p w:rsidR="002636E2" w:rsidRDefault="00863DD5">
      <w:pPr>
        <w:spacing w:after="0" w:line="240" w:lineRule="auto"/>
        <w:jc w:val="left"/>
        <w:rPr>
          <w:b/>
          <w:sz w:val="20"/>
          <w:szCs w:val="20"/>
        </w:rPr>
      </w:pPr>
      <w:r>
        <w:rPr>
          <w:b/>
          <w:sz w:val="20"/>
          <w:szCs w:val="20"/>
        </w:rPr>
        <w:t>Recent Progress</w:t>
      </w:r>
    </w:p>
    <w:p w:rsidR="002636E2" w:rsidRDefault="00863DD5" w:rsidP="002C23F6">
      <w:pPr>
        <w:spacing w:after="0" w:line="240" w:lineRule="auto"/>
        <w:ind w:firstLine="720"/>
        <w:jc w:val="both"/>
        <w:rPr>
          <w:sz w:val="20"/>
          <w:szCs w:val="20"/>
        </w:rPr>
      </w:pPr>
      <w:r>
        <w:rPr>
          <w:color w:val="000000"/>
        </w:rPr>
        <w:t>In the 12</w:t>
      </w:r>
      <w:r>
        <w:rPr>
          <w:color w:val="000000"/>
        </w:rPr>
        <w:t xml:space="preserve"> years since the FDA approval of </w:t>
      </w:r>
      <w:proofErr w:type="spellStart"/>
      <w:r>
        <w:rPr>
          <w:color w:val="000000"/>
        </w:rPr>
        <w:t>Sipuleucel</w:t>
      </w:r>
      <w:proofErr w:type="spellEnd"/>
      <w:r>
        <w:rPr>
          <w:color w:val="000000"/>
        </w:rPr>
        <w:t xml:space="preserve">-T, our understanding of the treatment’s effectiveness has deepened. Multiple studies have supported the initial finding that </w:t>
      </w:r>
      <w:proofErr w:type="spellStart"/>
      <w:r>
        <w:rPr>
          <w:color w:val="000000"/>
        </w:rPr>
        <w:t>Sipuleucel</w:t>
      </w:r>
      <w:proofErr w:type="spellEnd"/>
      <w:r>
        <w:rPr>
          <w:color w:val="000000"/>
        </w:rPr>
        <w:t>-T increases OS and can be u</w:t>
      </w:r>
      <w:r w:rsidR="00C617A2">
        <w:rPr>
          <w:color w:val="000000"/>
        </w:rPr>
        <w:t xml:space="preserve">sed alongside other treatments: </w:t>
      </w:r>
      <w:proofErr w:type="spellStart"/>
      <w:r>
        <w:rPr>
          <w:color w:val="000000"/>
        </w:rPr>
        <w:t>abiraterone</w:t>
      </w:r>
      <w:proofErr w:type="spellEnd"/>
      <w:r>
        <w:rPr>
          <w:color w:val="000000"/>
        </w:rPr>
        <w:t xml:space="preserve"> aceta</w:t>
      </w:r>
      <w:r>
        <w:rPr>
          <w:color w:val="000000"/>
        </w:rPr>
        <w:t xml:space="preserve">te, </w:t>
      </w:r>
      <w:proofErr w:type="spellStart"/>
      <w:r>
        <w:rPr>
          <w:color w:val="000000"/>
        </w:rPr>
        <w:t>enzalutami</w:t>
      </w:r>
      <w:r w:rsidR="00C617A2">
        <w:rPr>
          <w:color w:val="000000"/>
        </w:rPr>
        <w:t>ne</w:t>
      </w:r>
      <w:proofErr w:type="spellEnd"/>
      <w:r w:rsidR="00C617A2">
        <w:rPr>
          <w:color w:val="000000"/>
        </w:rPr>
        <w:t xml:space="preserve">, </w:t>
      </w:r>
      <w:proofErr w:type="spellStart"/>
      <w:r w:rsidR="00C617A2">
        <w:rPr>
          <w:color w:val="000000"/>
        </w:rPr>
        <w:t>cabazitaxal</w:t>
      </w:r>
      <w:proofErr w:type="spellEnd"/>
      <w:r w:rsidR="00C617A2">
        <w:rPr>
          <w:color w:val="000000"/>
        </w:rPr>
        <w:t>, and radium 223</w:t>
      </w:r>
      <w:r w:rsidR="009357B8">
        <w:rPr>
          <w:color w:val="000000"/>
        </w:rPr>
        <w:t xml:space="preserve"> (5)</w:t>
      </w:r>
      <w:r>
        <w:rPr>
          <w:color w:val="000000"/>
        </w:rPr>
        <w:t>. The PROCEED registry is a resource that tra</w:t>
      </w:r>
      <w:r w:rsidR="00C617A2">
        <w:rPr>
          <w:color w:val="000000"/>
        </w:rPr>
        <w:t xml:space="preserve">cks the effect of </w:t>
      </w:r>
      <w:proofErr w:type="spellStart"/>
      <w:r w:rsidR="00C617A2">
        <w:rPr>
          <w:color w:val="000000"/>
        </w:rPr>
        <w:t>Sipuleucel</w:t>
      </w:r>
      <w:proofErr w:type="spellEnd"/>
      <w:r w:rsidR="00C617A2">
        <w:rPr>
          <w:color w:val="000000"/>
        </w:rPr>
        <w:t>-T i</w:t>
      </w:r>
      <w:r>
        <w:rPr>
          <w:color w:val="000000"/>
        </w:rPr>
        <w:t xml:space="preserve">n patients with </w:t>
      </w:r>
      <w:proofErr w:type="spellStart"/>
      <w:r>
        <w:rPr>
          <w:color w:val="000000"/>
        </w:rPr>
        <w:t>mCRPC</w:t>
      </w:r>
      <w:proofErr w:type="spellEnd"/>
      <w:r w:rsidR="009357B8">
        <w:rPr>
          <w:color w:val="000000"/>
        </w:rPr>
        <w:t xml:space="preserve"> (2)</w:t>
      </w:r>
      <w:r>
        <w:rPr>
          <w:color w:val="000000"/>
        </w:rPr>
        <w:t xml:space="preserve">. The goal now is to understand long-term effects of </w:t>
      </w:r>
      <w:proofErr w:type="spellStart"/>
      <w:r>
        <w:rPr>
          <w:color w:val="000000"/>
        </w:rPr>
        <w:t>Sipuleucel</w:t>
      </w:r>
      <w:proofErr w:type="spellEnd"/>
      <w:r>
        <w:rPr>
          <w:color w:val="000000"/>
        </w:rPr>
        <w:t xml:space="preserve">-T and how it can work with other treatments and </w:t>
      </w:r>
      <w:r>
        <w:rPr>
          <w:color w:val="000000"/>
        </w:rPr>
        <w:t>methods to maximize OS. </w:t>
      </w:r>
      <w:r w:rsidR="009357B8">
        <w:rPr>
          <w:color w:val="000000"/>
        </w:rPr>
        <w:t xml:space="preserve">In terms of progress in general immunotherapy research, research is being focused on reducing side effects of immunotherapies, decreasing resistance to immunotherapies, and better predicting immune responses (3). </w:t>
      </w:r>
    </w:p>
    <w:p w:rsidR="002636E2" w:rsidRDefault="002636E2">
      <w:pPr>
        <w:spacing w:after="0" w:line="240" w:lineRule="auto"/>
        <w:jc w:val="both"/>
        <w:rPr>
          <w:b/>
          <w:sz w:val="20"/>
          <w:szCs w:val="20"/>
        </w:rPr>
      </w:pPr>
    </w:p>
    <w:p w:rsidR="002636E2" w:rsidRDefault="00863DD5">
      <w:pPr>
        <w:spacing w:after="0" w:line="240" w:lineRule="auto"/>
        <w:jc w:val="both"/>
        <w:rPr>
          <w:b/>
          <w:sz w:val="20"/>
          <w:szCs w:val="20"/>
        </w:rPr>
      </w:pPr>
      <w:r>
        <w:rPr>
          <w:b/>
          <w:sz w:val="20"/>
          <w:szCs w:val="20"/>
        </w:rPr>
        <w:t>Discussion</w:t>
      </w:r>
    </w:p>
    <w:p w:rsidR="002636E2" w:rsidRDefault="00351267" w:rsidP="00351267">
      <w:pPr>
        <w:spacing w:after="0" w:line="240" w:lineRule="auto"/>
        <w:ind w:firstLine="720"/>
        <w:jc w:val="both"/>
        <w:rPr>
          <w:color w:val="000000"/>
        </w:rPr>
      </w:pPr>
      <w:r>
        <w:rPr>
          <w:color w:val="000000"/>
        </w:rPr>
        <w:t xml:space="preserve">Several studies have been conducted in the last decade to determine the success rate of </w:t>
      </w:r>
      <w:proofErr w:type="spellStart"/>
      <w:r>
        <w:rPr>
          <w:color w:val="000000"/>
        </w:rPr>
        <w:t>Sipuleucel</w:t>
      </w:r>
      <w:proofErr w:type="spellEnd"/>
      <w:r>
        <w:rPr>
          <w:color w:val="000000"/>
        </w:rPr>
        <w:t xml:space="preserve">-T. The results of the initial research process were promising. </w:t>
      </w:r>
      <w:r w:rsidR="00863DD5">
        <w:rPr>
          <w:color w:val="000000"/>
        </w:rPr>
        <w:t xml:space="preserve">A double-blind trial </w:t>
      </w:r>
      <w:r w:rsidR="00863DD5">
        <w:rPr>
          <w:color w:val="000000"/>
        </w:rPr>
        <w:lastRenderedPageBreak/>
        <w:t>involving 512 patients, called Immunotherapy for Prostate Adenocarcinoma Treatment (IMPACT), aimed to confirm survival findings by calculating overall survival (OS). This study evaluated the effect</w:t>
      </w:r>
      <w:r w:rsidR="00863DD5">
        <w:rPr>
          <w:color w:val="000000"/>
        </w:rPr>
        <w:t xml:space="preserve">iveness of </w:t>
      </w:r>
      <w:proofErr w:type="spellStart"/>
      <w:r w:rsidR="00863DD5">
        <w:rPr>
          <w:color w:val="000000"/>
        </w:rPr>
        <w:t>Sipuleucel</w:t>
      </w:r>
      <w:proofErr w:type="spellEnd"/>
      <w:r w:rsidR="00863DD5">
        <w:rPr>
          <w:color w:val="000000"/>
        </w:rPr>
        <w:t xml:space="preserve">-T in reducing risk of death in men with </w:t>
      </w:r>
      <w:proofErr w:type="spellStart"/>
      <w:r w:rsidR="00863DD5">
        <w:rPr>
          <w:color w:val="000000"/>
        </w:rPr>
        <w:t>mCRPC</w:t>
      </w:r>
      <w:proofErr w:type="spellEnd"/>
      <w:r w:rsidR="00863DD5">
        <w:rPr>
          <w:color w:val="000000"/>
        </w:rPr>
        <w:t>. This or</w:t>
      </w:r>
      <w:r>
        <w:rPr>
          <w:color w:val="000000"/>
        </w:rPr>
        <w:t>iginal trial was a</w:t>
      </w:r>
      <w:r w:rsidR="00863DD5">
        <w:rPr>
          <w:color w:val="000000"/>
        </w:rPr>
        <w:t xml:space="preserve"> placebo-controlled, multicenter phase III trial with 512 participants. There was a 2:1 ratio of </w:t>
      </w:r>
      <w:proofErr w:type="spellStart"/>
      <w:r w:rsidR="00863DD5">
        <w:rPr>
          <w:color w:val="000000"/>
        </w:rPr>
        <w:t>sipuleucel</w:t>
      </w:r>
      <w:proofErr w:type="spellEnd"/>
      <w:r w:rsidR="00863DD5">
        <w:rPr>
          <w:color w:val="000000"/>
        </w:rPr>
        <w:t>-T to placebo patients. Patients were giv</w:t>
      </w:r>
      <w:r w:rsidR="00863DD5">
        <w:rPr>
          <w:color w:val="000000"/>
        </w:rPr>
        <w:t>en infusions (</w:t>
      </w:r>
      <w:proofErr w:type="spellStart"/>
      <w:r w:rsidR="00863DD5">
        <w:rPr>
          <w:color w:val="000000"/>
        </w:rPr>
        <w:t>sipuleucel</w:t>
      </w:r>
      <w:proofErr w:type="spellEnd"/>
      <w:r w:rsidR="00863DD5">
        <w:rPr>
          <w:color w:val="000000"/>
        </w:rPr>
        <w:t xml:space="preserve">-T or placebo) every two weeks, </w:t>
      </w:r>
      <w:r>
        <w:rPr>
          <w:color w:val="000000"/>
        </w:rPr>
        <w:t>totaling</w:t>
      </w:r>
      <w:r w:rsidR="00863DD5">
        <w:rPr>
          <w:color w:val="000000"/>
        </w:rPr>
        <w:t xml:space="preserve"> 3 infusions. Eligible men had </w:t>
      </w:r>
      <w:proofErr w:type="spellStart"/>
      <w:r w:rsidR="00863DD5">
        <w:rPr>
          <w:color w:val="000000"/>
        </w:rPr>
        <w:t>mCRPC</w:t>
      </w:r>
      <w:proofErr w:type="spellEnd"/>
      <w:r w:rsidR="00863DD5">
        <w:rPr>
          <w:color w:val="000000"/>
        </w:rPr>
        <w:t xml:space="preserve"> and an expected survival of 6+ months. The trial included patients with any Gleason score </w:t>
      </w:r>
      <w:r>
        <w:rPr>
          <w:color w:val="000000"/>
        </w:rPr>
        <w:t xml:space="preserve">(a score that determines the prognosis for men with prostate cancer) </w:t>
      </w:r>
      <w:r w:rsidR="00863DD5">
        <w:rPr>
          <w:color w:val="000000"/>
        </w:rPr>
        <w:t>after an earlier trial showed positive results</w:t>
      </w:r>
      <w:r>
        <w:rPr>
          <w:color w:val="000000"/>
        </w:rPr>
        <w:t xml:space="preserve"> (4)</w:t>
      </w:r>
      <w:r w:rsidR="00863DD5">
        <w:rPr>
          <w:color w:val="000000"/>
        </w:rPr>
        <w:t xml:space="preserve">. The study found </w:t>
      </w:r>
      <w:r w:rsidR="00863DD5">
        <w:rPr>
          <w:color w:val="000000"/>
        </w:rPr>
        <w:t xml:space="preserve">a </w:t>
      </w:r>
      <w:r w:rsidR="00762F53">
        <w:rPr>
          <w:color w:val="000000"/>
        </w:rPr>
        <w:t>4.1-month</w:t>
      </w:r>
      <w:r w:rsidR="00863DD5">
        <w:rPr>
          <w:color w:val="000000"/>
        </w:rPr>
        <w:t xml:space="preserve"> improvement in median survival, and the 36-month survival probability was 31.7% in the trial group versus 23.0% in the placebo group. Adverse events, fever, chills, and headache, were reported more frequently in the </w:t>
      </w:r>
      <w:proofErr w:type="spellStart"/>
      <w:r w:rsidR="00863DD5">
        <w:rPr>
          <w:color w:val="000000"/>
        </w:rPr>
        <w:t>sipuleucel</w:t>
      </w:r>
      <w:proofErr w:type="spellEnd"/>
      <w:r w:rsidR="00863DD5">
        <w:rPr>
          <w:color w:val="000000"/>
        </w:rPr>
        <w:t>-T group than in t</w:t>
      </w:r>
      <w:r w:rsidR="00863DD5">
        <w:rPr>
          <w:color w:val="000000"/>
        </w:rPr>
        <w:t xml:space="preserve">he placebo group. A subgroup of patients </w:t>
      </w:r>
      <w:r w:rsidR="00762F53">
        <w:rPr>
          <w:color w:val="000000"/>
        </w:rPr>
        <w:t>was</w:t>
      </w:r>
      <w:r w:rsidR="00863DD5">
        <w:rPr>
          <w:color w:val="000000"/>
        </w:rPr>
        <w:t xml:space="preserve"> monitored for immune functions at 6, 14, and 24 weeks. No survival difference was detected between patients in the </w:t>
      </w:r>
      <w:proofErr w:type="spellStart"/>
      <w:r w:rsidR="00863DD5">
        <w:rPr>
          <w:color w:val="000000"/>
        </w:rPr>
        <w:t>Sipuleucel</w:t>
      </w:r>
      <w:proofErr w:type="spellEnd"/>
      <w:r w:rsidR="00863DD5">
        <w:rPr>
          <w:color w:val="000000"/>
        </w:rPr>
        <w:t>-T group who had T-cell responses to PA2024 or prostatic acid phosphatase and those w</w:t>
      </w:r>
      <w:r w:rsidR="009433C4">
        <w:rPr>
          <w:color w:val="000000"/>
        </w:rPr>
        <w:t>ho didn’t (4</w:t>
      </w:r>
      <w:r w:rsidR="00863DD5">
        <w:rPr>
          <w:color w:val="000000"/>
        </w:rPr>
        <w:t xml:space="preserve">). </w:t>
      </w:r>
      <w:r>
        <w:rPr>
          <w:color w:val="000000"/>
        </w:rPr>
        <w:t xml:space="preserve">This original study determined that </w:t>
      </w:r>
      <w:proofErr w:type="spellStart"/>
      <w:r>
        <w:rPr>
          <w:color w:val="000000"/>
        </w:rPr>
        <w:t>Sipuleucel</w:t>
      </w:r>
      <w:proofErr w:type="spellEnd"/>
      <w:r>
        <w:rPr>
          <w:color w:val="000000"/>
        </w:rPr>
        <w:t xml:space="preserve">-T was safe for use and that it improved OS. The next step was to monitor the effects </w:t>
      </w:r>
      <w:proofErr w:type="spellStart"/>
      <w:r>
        <w:rPr>
          <w:color w:val="000000"/>
        </w:rPr>
        <w:t>Sipuleucel</w:t>
      </w:r>
      <w:proofErr w:type="spellEnd"/>
      <w:r>
        <w:rPr>
          <w:color w:val="000000"/>
        </w:rPr>
        <w:t xml:space="preserve">-T had on specific immune system cellular responses. </w:t>
      </w:r>
    </w:p>
    <w:p w:rsidR="002636E2" w:rsidRDefault="00351267" w:rsidP="0068575F">
      <w:pPr>
        <w:spacing w:after="0" w:line="240" w:lineRule="auto"/>
        <w:ind w:firstLine="720"/>
        <w:jc w:val="both"/>
        <w:rPr>
          <w:color w:val="000000"/>
        </w:rPr>
      </w:pPr>
      <w:r>
        <w:rPr>
          <w:color w:val="000000"/>
        </w:rPr>
        <w:t>As part of the IMPACT phase III study, t</w:t>
      </w:r>
      <w:r w:rsidR="00863DD5">
        <w:rPr>
          <w:color w:val="000000"/>
        </w:rPr>
        <w:t xml:space="preserve">he connection between the antitumor response of immunotherapies, like </w:t>
      </w:r>
      <w:proofErr w:type="spellStart"/>
      <w:r w:rsidR="00863DD5">
        <w:rPr>
          <w:color w:val="000000"/>
        </w:rPr>
        <w:t>Sipuleucel</w:t>
      </w:r>
      <w:proofErr w:type="spellEnd"/>
      <w:r w:rsidR="00863DD5">
        <w:rPr>
          <w:color w:val="000000"/>
        </w:rPr>
        <w:t>-T, and the immune response</w:t>
      </w:r>
      <w:r>
        <w:rPr>
          <w:color w:val="000000"/>
        </w:rPr>
        <w:t>s to secondary tumor antigens was studies closely</w:t>
      </w:r>
      <w:r w:rsidR="00863DD5">
        <w:rPr>
          <w:color w:val="000000"/>
        </w:rPr>
        <w:t xml:space="preserve">. </w:t>
      </w:r>
      <w:r>
        <w:rPr>
          <w:color w:val="000000"/>
        </w:rPr>
        <w:t xml:space="preserve">A sample of participants in the IMPACT study were used to assess humoral immunity responses (1). </w:t>
      </w:r>
      <w:r w:rsidR="00863DD5">
        <w:rPr>
          <w:color w:val="000000"/>
        </w:rPr>
        <w:t>Serum samp</w:t>
      </w:r>
      <w:r w:rsidR="00863DD5">
        <w:rPr>
          <w:color w:val="000000"/>
        </w:rPr>
        <w:t xml:space="preserve">les from IMPACT patients were taken and assessed using multivariate Cox models, also adjusting for baseline PSA and lactate dehydrogenase (1). The results showed that IgG levels against PSA, as well as other secondary antigens, were elevated after </w:t>
      </w:r>
      <w:proofErr w:type="spellStart"/>
      <w:r w:rsidR="00863DD5">
        <w:rPr>
          <w:color w:val="000000"/>
        </w:rPr>
        <w:t>Sipuleuc</w:t>
      </w:r>
      <w:r w:rsidR="00863DD5">
        <w:rPr>
          <w:color w:val="000000"/>
        </w:rPr>
        <w:t>el</w:t>
      </w:r>
      <w:proofErr w:type="spellEnd"/>
      <w:r w:rsidR="00863DD5">
        <w:rPr>
          <w:color w:val="000000"/>
        </w:rPr>
        <w:t xml:space="preserve">-T treatments. IgG responses </w:t>
      </w:r>
      <w:r w:rsidR="00863DD5">
        <w:rPr>
          <w:color w:val="000000"/>
        </w:rPr>
        <w:lastRenderedPageBreak/>
        <w:t>increased approximately two weeks after infusions, and could persist up to six months later (1). Additionally, IgG responses to LGALS3 and PSA both were associated with increased OS.</w:t>
      </w:r>
      <w:r>
        <w:rPr>
          <w:color w:val="000000"/>
        </w:rPr>
        <w:t xml:space="preserve"> This study concluded that increased IgG responses increased overall OS</w:t>
      </w:r>
      <w:r w:rsidR="002C23F6">
        <w:rPr>
          <w:color w:val="000000"/>
        </w:rPr>
        <w:t>. This assessment showed the successfulness of the vaccine and demonstrated the connection between improved immune response and OS. These</w:t>
      </w:r>
      <w:r w:rsidR="00863DD5">
        <w:rPr>
          <w:color w:val="000000"/>
        </w:rPr>
        <w:t xml:space="preserve"> particular method</w:t>
      </w:r>
      <w:r w:rsidR="002C23F6">
        <w:rPr>
          <w:color w:val="000000"/>
        </w:rPr>
        <w:t>s</w:t>
      </w:r>
      <w:r w:rsidR="00863DD5">
        <w:rPr>
          <w:color w:val="000000"/>
        </w:rPr>
        <w:t xml:space="preserve"> and finding</w:t>
      </w:r>
      <w:r w:rsidR="002C23F6">
        <w:rPr>
          <w:color w:val="000000"/>
        </w:rPr>
        <w:t>s</w:t>
      </w:r>
      <w:r w:rsidR="00863DD5">
        <w:rPr>
          <w:color w:val="000000"/>
        </w:rPr>
        <w:t xml:space="preserve"> could h</w:t>
      </w:r>
      <w:r w:rsidR="00863DD5">
        <w:rPr>
          <w:color w:val="000000"/>
        </w:rPr>
        <w:t>elp in future assessments of immunotherapies (1).</w:t>
      </w:r>
      <w:r w:rsidR="002C23F6">
        <w:rPr>
          <w:color w:val="000000"/>
        </w:rPr>
        <w:t xml:space="preserve"> Immunotherapies are used to treat many types of cancer and many of these treatments are being studied and improved. The hope is to create vaccines that can improve immune responses significantly without degrading quality of life. </w:t>
      </w:r>
    </w:p>
    <w:p w:rsidR="002636E2" w:rsidRDefault="002C23F6" w:rsidP="0068575F">
      <w:pPr>
        <w:spacing w:after="0" w:line="240" w:lineRule="auto"/>
        <w:ind w:firstLine="720"/>
        <w:jc w:val="both"/>
        <w:rPr>
          <w:color w:val="000000"/>
        </w:rPr>
      </w:pPr>
      <w:r>
        <w:rPr>
          <w:color w:val="000000"/>
        </w:rPr>
        <w:t xml:space="preserve">Another trial combined use of </w:t>
      </w:r>
      <w:proofErr w:type="spellStart"/>
      <w:r>
        <w:rPr>
          <w:color w:val="000000"/>
        </w:rPr>
        <w:t>Sipuleucel</w:t>
      </w:r>
      <w:proofErr w:type="spellEnd"/>
      <w:r w:rsidR="00863DD5">
        <w:rPr>
          <w:color w:val="000000"/>
        </w:rPr>
        <w:t xml:space="preserve">-T with </w:t>
      </w:r>
      <w:proofErr w:type="spellStart"/>
      <w:r w:rsidR="00863DD5">
        <w:rPr>
          <w:color w:val="000000"/>
        </w:rPr>
        <w:t>abiraterone</w:t>
      </w:r>
      <w:proofErr w:type="spellEnd"/>
      <w:r w:rsidR="00863DD5">
        <w:rPr>
          <w:color w:val="000000"/>
        </w:rPr>
        <w:t xml:space="preserve"> acetate</w:t>
      </w:r>
      <w:r>
        <w:rPr>
          <w:color w:val="000000"/>
        </w:rPr>
        <w:t>.</w:t>
      </w:r>
      <w:r w:rsidR="00863DD5">
        <w:rPr>
          <w:color w:val="000000"/>
        </w:rPr>
        <w:t xml:space="preserve"> </w:t>
      </w:r>
      <w:r>
        <w:rPr>
          <w:color w:val="000000"/>
        </w:rPr>
        <w:t xml:space="preserve">This study </w:t>
      </w:r>
      <w:r w:rsidR="00863DD5">
        <w:rPr>
          <w:color w:val="000000"/>
        </w:rPr>
        <w:t>displays the methods in which we can determine the effectiveness and safety in combining immunotherapies with other forms of cancer treatment. This pha</w:t>
      </w:r>
      <w:r w:rsidR="00863DD5">
        <w:rPr>
          <w:color w:val="000000"/>
        </w:rPr>
        <w:t xml:space="preserve">se II trial assessed the differences of concurrent or sequential administration of </w:t>
      </w:r>
      <w:proofErr w:type="spellStart"/>
      <w:r w:rsidR="00863DD5">
        <w:rPr>
          <w:color w:val="000000"/>
        </w:rPr>
        <w:t>abirater</w:t>
      </w:r>
      <w:r>
        <w:rPr>
          <w:color w:val="000000"/>
        </w:rPr>
        <w:t>one</w:t>
      </w:r>
      <w:proofErr w:type="spellEnd"/>
      <w:r>
        <w:rPr>
          <w:color w:val="000000"/>
        </w:rPr>
        <w:t xml:space="preserve"> acetate plus prednisone</w:t>
      </w:r>
      <w:r w:rsidR="00C617A2">
        <w:rPr>
          <w:color w:val="000000"/>
        </w:rPr>
        <w:t xml:space="preserve"> (AA + P)</w:t>
      </w:r>
      <w:r>
        <w:rPr>
          <w:color w:val="000000"/>
        </w:rPr>
        <w:t xml:space="preserve"> on </w:t>
      </w:r>
      <w:proofErr w:type="spellStart"/>
      <w:r>
        <w:rPr>
          <w:color w:val="000000"/>
        </w:rPr>
        <w:t>S</w:t>
      </w:r>
      <w:r w:rsidR="00863DD5">
        <w:rPr>
          <w:color w:val="000000"/>
        </w:rPr>
        <w:t>ipuleucel</w:t>
      </w:r>
      <w:proofErr w:type="spellEnd"/>
      <w:r w:rsidR="00863DD5">
        <w:rPr>
          <w:color w:val="000000"/>
        </w:rPr>
        <w:t>-T imm</w:t>
      </w:r>
      <w:r w:rsidR="009433C4">
        <w:rPr>
          <w:color w:val="000000"/>
        </w:rPr>
        <w:t>une responses and manufacture (5</w:t>
      </w:r>
      <w:r w:rsidR="00863DD5">
        <w:rPr>
          <w:color w:val="000000"/>
        </w:rPr>
        <w:t xml:space="preserve">). Men with </w:t>
      </w:r>
      <w:proofErr w:type="spellStart"/>
      <w:r>
        <w:rPr>
          <w:color w:val="000000"/>
        </w:rPr>
        <w:t>mCRPC</w:t>
      </w:r>
      <w:proofErr w:type="spellEnd"/>
      <w:r>
        <w:rPr>
          <w:color w:val="000000"/>
        </w:rPr>
        <w:t xml:space="preserve"> were either treated with </w:t>
      </w:r>
      <w:proofErr w:type="spellStart"/>
      <w:r>
        <w:rPr>
          <w:color w:val="000000"/>
        </w:rPr>
        <w:t>S</w:t>
      </w:r>
      <w:r w:rsidR="00863DD5">
        <w:rPr>
          <w:color w:val="000000"/>
        </w:rPr>
        <w:t>ipuleucel</w:t>
      </w:r>
      <w:proofErr w:type="spellEnd"/>
      <w:r w:rsidR="00863DD5">
        <w:rPr>
          <w:color w:val="000000"/>
        </w:rPr>
        <w:t xml:space="preserve">-T followed by AA + P concurrent </w:t>
      </w:r>
      <w:r w:rsidR="00863DD5">
        <w:rPr>
          <w:color w:val="000000"/>
        </w:rPr>
        <w:t>(once) or sequential (10 weeks after the infusion). Treatment with AA + P continued for the following 26 weeks. The goal of this treatment was increased antigen presenting cell (APC) activation, as well as to test the safety of this combined treatment. Ove</w:t>
      </w:r>
      <w:r w:rsidR="00863DD5">
        <w:rPr>
          <w:color w:val="000000"/>
        </w:rPr>
        <w:t xml:space="preserve">rall, 69 </w:t>
      </w:r>
      <w:proofErr w:type="spellStart"/>
      <w:r w:rsidR="00863DD5">
        <w:rPr>
          <w:color w:val="000000"/>
        </w:rPr>
        <w:t>mCRPC</w:t>
      </w:r>
      <w:proofErr w:type="spellEnd"/>
      <w:r w:rsidR="00863DD5">
        <w:rPr>
          <w:color w:val="000000"/>
        </w:rPr>
        <w:t xml:space="preserve"> patients were enrolled with 35 and 34 patients split into two groups, concurrent and sequential respectively. APC activation was greater at the second and third infusions compared to the baseline APC activation. Antigen spread was also obser</w:t>
      </w:r>
      <w:r w:rsidR="00863DD5">
        <w:rPr>
          <w:color w:val="000000"/>
        </w:rPr>
        <w:t>ved similarly to previous studies and was consis</w:t>
      </w:r>
      <w:r w:rsidR="009433C4">
        <w:rPr>
          <w:color w:val="000000"/>
        </w:rPr>
        <w:t>tent with the other endpoints (5</w:t>
      </w:r>
      <w:r w:rsidR="00863DD5">
        <w:rPr>
          <w:color w:val="000000"/>
        </w:rPr>
        <w:t xml:space="preserve">). There was also no indication that the combined treatment impacted the overall safety of either treatment. This trial concluded that AA + P alongside </w:t>
      </w:r>
      <w:proofErr w:type="spellStart"/>
      <w:r w:rsidR="00863DD5">
        <w:rPr>
          <w:color w:val="000000"/>
        </w:rPr>
        <w:t>Sipuleucel</w:t>
      </w:r>
      <w:proofErr w:type="spellEnd"/>
      <w:r w:rsidR="00863DD5">
        <w:rPr>
          <w:color w:val="000000"/>
        </w:rPr>
        <w:t>-T is a safe a</w:t>
      </w:r>
      <w:r w:rsidR="00863DD5">
        <w:rPr>
          <w:color w:val="000000"/>
        </w:rPr>
        <w:t xml:space="preserve">nd effective treatment for </w:t>
      </w:r>
      <w:proofErr w:type="spellStart"/>
      <w:r w:rsidR="00863DD5">
        <w:rPr>
          <w:color w:val="000000"/>
        </w:rPr>
        <w:t>mCRPC</w:t>
      </w:r>
      <w:proofErr w:type="spellEnd"/>
      <w:r w:rsidR="00863DD5">
        <w:rPr>
          <w:color w:val="000000"/>
        </w:rPr>
        <w:t>.</w:t>
      </w:r>
      <w:r>
        <w:rPr>
          <w:color w:val="000000"/>
        </w:rPr>
        <w:t xml:space="preserve"> The combination of </w:t>
      </w:r>
      <w:r>
        <w:rPr>
          <w:color w:val="000000"/>
        </w:rPr>
        <w:lastRenderedPageBreak/>
        <w:t>immunotherapy and other forms cancer treatments is common, and it is important to understand how combining therapies affects the effectiveness and safety of the treatment. Vaccine therapies have inconsistent effects on the immune response</w:t>
      </w:r>
      <w:r w:rsidR="00863DD5">
        <w:rPr>
          <w:color w:val="000000"/>
        </w:rPr>
        <w:t xml:space="preserve"> </w:t>
      </w:r>
      <w:r>
        <w:rPr>
          <w:color w:val="000000"/>
        </w:rPr>
        <w:t xml:space="preserve">and improving our ability to predict responses is also an important task. </w:t>
      </w:r>
      <w:r w:rsidR="00863DD5">
        <w:rPr>
          <w:color w:val="000000"/>
        </w:rPr>
        <w:t>    </w:t>
      </w:r>
    </w:p>
    <w:p w:rsidR="002636E2" w:rsidRDefault="002C23F6" w:rsidP="0068575F">
      <w:pPr>
        <w:pBdr>
          <w:top w:val="nil"/>
          <w:left w:val="nil"/>
          <w:bottom w:val="nil"/>
          <w:right w:val="nil"/>
          <w:between w:val="nil"/>
        </w:pBdr>
        <w:spacing w:after="0" w:line="240" w:lineRule="auto"/>
        <w:ind w:firstLine="720"/>
        <w:jc w:val="both"/>
        <w:rPr>
          <w:color w:val="000000"/>
        </w:rPr>
      </w:pPr>
      <w:r>
        <w:rPr>
          <w:color w:val="000000"/>
        </w:rPr>
        <w:t xml:space="preserve">Since the approval of </w:t>
      </w:r>
      <w:proofErr w:type="spellStart"/>
      <w:r>
        <w:rPr>
          <w:color w:val="000000"/>
        </w:rPr>
        <w:t>Sipuleucel</w:t>
      </w:r>
      <w:proofErr w:type="spellEnd"/>
      <w:r>
        <w:rPr>
          <w:color w:val="000000"/>
        </w:rPr>
        <w:t xml:space="preserve">-T in 2009, the monitoring of patients has </w:t>
      </w:r>
      <w:r w:rsidR="007F046B">
        <w:rPr>
          <w:color w:val="000000"/>
        </w:rPr>
        <w:t xml:space="preserve">improved out understanding of the effectiveness of the vaccine. </w:t>
      </w:r>
      <w:r w:rsidR="00863DD5">
        <w:rPr>
          <w:color w:val="000000"/>
        </w:rPr>
        <w:t xml:space="preserve">The PROVENGE Registry for the Observation, Collection, and Evaluation of Experience Data (PROCEED) evaluated the effectiveness of </w:t>
      </w:r>
      <w:proofErr w:type="spellStart"/>
      <w:r w:rsidR="00863DD5">
        <w:rPr>
          <w:color w:val="000000"/>
        </w:rPr>
        <w:t>Sipuleucel</w:t>
      </w:r>
      <w:proofErr w:type="spellEnd"/>
      <w:r w:rsidR="00863DD5">
        <w:rPr>
          <w:color w:val="000000"/>
        </w:rPr>
        <w:t xml:space="preserve">-T for </w:t>
      </w:r>
      <w:proofErr w:type="spellStart"/>
      <w:r w:rsidR="00863DD5">
        <w:rPr>
          <w:color w:val="000000"/>
        </w:rPr>
        <w:t>mCRPC</w:t>
      </w:r>
      <w:proofErr w:type="spellEnd"/>
      <w:r w:rsidR="009377E1">
        <w:rPr>
          <w:color w:val="000000"/>
        </w:rPr>
        <w:t xml:space="preserve"> (2)</w:t>
      </w:r>
      <w:r w:rsidR="00863DD5">
        <w:rPr>
          <w:color w:val="000000"/>
        </w:rPr>
        <w:t xml:space="preserve">. PROCEED (2011-2017) tracked patients receiving 3 biweekly </w:t>
      </w:r>
      <w:proofErr w:type="spellStart"/>
      <w:r w:rsidR="00863DD5">
        <w:rPr>
          <w:color w:val="000000"/>
        </w:rPr>
        <w:t>Sipuleucel</w:t>
      </w:r>
      <w:proofErr w:type="spellEnd"/>
      <w:r w:rsidR="00863DD5">
        <w:rPr>
          <w:color w:val="000000"/>
        </w:rPr>
        <w:t>-T infusions and assessed for over</w:t>
      </w:r>
      <w:r w:rsidR="00863DD5">
        <w:rPr>
          <w:color w:val="000000"/>
        </w:rPr>
        <w:t>all survival, cerebrovascular events, serious adverse events, and anticancer interventions. Patients were followed up at 3+ years or until death or withdrawal from study. </w:t>
      </w:r>
    </w:p>
    <w:p w:rsidR="002636E2" w:rsidRDefault="00863DD5" w:rsidP="0068575F">
      <w:pPr>
        <w:pBdr>
          <w:top w:val="nil"/>
          <w:left w:val="nil"/>
          <w:bottom w:val="nil"/>
          <w:right w:val="nil"/>
          <w:between w:val="nil"/>
        </w:pBdr>
        <w:spacing w:after="0" w:line="240" w:lineRule="auto"/>
        <w:jc w:val="both"/>
        <w:rPr>
          <w:color w:val="000000"/>
        </w:rPr>
      </w:pPr>
      <w:r>
        <w:rPr>
          <w:color w:val="000000"/>
        </w:rPr>
        <w:t>This study found that although PROCEED patients had a good overall performance statu</w:t>
      </w:r>
      <w:r w:rsidR="007F046B">
        <w:rPr>
          <w:color w:val="000000"/>
        </w:rPr>
        <w:t>s</w:t>
      </w:r>
      <w:r w:rsidR="009377E1">
        <w:rPr>
          <w:color w:val="000000"/>
        </w:rPr>
        <w:t xml:space="preserve"> (2)</w:t>
      </w:r>
      <w:r w:rsidR="007F046B">
        <w:rPr>
          <w:color w:val="000000"/>
        </w:rPr>
        <w:t>. However,</w:t>
      </w:r>
      <w:r>
        <w:rPr>
          <w:color w:val="000000"/>
        </w:rPr>
        <w:t xml:space="preserve"> in comparison with those from the original IMPA</w:t>
      </w:r>
      <w:r w:rsidR="007F046B">
        <w:rPr>
          <w:color w:val="000000"/>
        </w:rPr>
        <w:t>CT trial, the results showed a smaller increase in OS</w:t>
      </w:r>
      <w:r>
        <w:rPr>
          <w:color w:val="000000"/>
        </w:rPr>
        <w:t>. This can be explained by several reasons, the PROCEED trials were larger and because randomized clinical trials like IMPACT have more stringent criteria for eligibility. De</w:t>
      </w:r>
      <w:r>
        <w:rPr>
          <w:color w:val="000000"/>
        </w:rPr>
        <w:t>spite the lower overall results, the overall survival was higher for the PROCEED study, 30.7 months compared to 25.8 months. The PROCEED study took place during a p</w:t>
      </w:r>
      <w:r w:rsidR="007F046B">
        <w:rPr>
          <w:color w:val="000000"/>
        </w:rPr>
        <w:t>eriod of significant progress in</w:t>
      </w:r>
      <w:r>
        <w:rPr>
          <w:color w:val="000000"/>
        </w:rPr>
        <w:t xml:space="preserve"> </w:t>
      </w:r>
      <w:proofErr w:type="spellStart"/>
      <w:r>
        <w:rPr>
          <w:color w:val="000000"/>
        </w:rPr>
        <w:t>mCRPC</w:t>
      </w:r>
      <w:proofErr w:type="spellEnd"/>
      <w:r>
        <w:rPr>
          <w:color w:val="000000"/>
        </w:rPr>
        <w:t xml:space="preserve"> management. Four new life-extending therapies were ma</w:t>
      </w:r>
      <w:r>
        <w:rPr>
          <w:color w:val="000000"/>
        </w:rPr>
        <w:t xml:space="preserve">de available: </w:t>
      </w:r>
      <w:proofErr w:type="spellStart"/>
      <w:r>
        <w:rPr>
          <w:color w:val="000000"/>
        </w:rPr>
        <w:t>abiraterone</w:t>
      </w:r>
      <w:proofErr w:type="spellEnd"/>
      <w:r>
        <w:rPr>
          <w:color w:val="000000"/>
        </w:rPr>
        <w:t xml:space="preserve"> acetate, </w:t>
      </w:r>
      <w:proofErr w:type="spellStart"/>
      <w:r>
        <w:rPr>
          <w:color w:val="000000"/>
        </w:rPr>
        <w:t>enzalutamine</w:t>
      </w:r>
      <w:proofErr w:type="spellEnd"/>
      <w:r>
        <w:rPr>
          <w:color w:val="000000"/>
        </w:rPr>
        <w:t xml:space="preserve">, </w:t>
      </w:r>
      <w:proofErr w:type="spellStart"/>
      <w:r>
        <w:rPr>
          <w:color w:val="000000"/>
        </w:rPr>
        <w:t>cabazitaxal</w:t>
      </w:r>
      <w:proofErr w:type="spellEnd"/>
      <w:r>
        <w:rPr>
          <w:color w:val="000000"/>
        </w:rPr>
        <w:t xml:space="preserve">, and radium 223. These therapies used in tandem with </w:t>
      </w:r>
      <w:proofErr w:type="spellStart"/>
      <w:r>
        <w:rPr>
          <w:color w:val="000000"/>
        </w:rPr>
        <w:t>Sipuleucel</w:t>
      </w:r>
      <w:proofErr w:type="spellEnd"/>
      <w:r>
        <w:rPr>
          <w:color w:val="000000"/>
        </w:rPr>
        <w:t>-T increase</w:t>
      </w:r>
      <w:r w:rsidR="007F046B">
        <w:rPr>
          <w:color w:val="000000"/>
        </w:rPr>
        <w:t>d</w:t>
      </w:r>
      <w:r>
        <w:rPr>
          <w:color w:val="000000"/>
        </w:rPr>
        <w:t xml:space="preserve"> overall survival rates</w:t>
      </w:r>
      <w:r w:rsidR="009377E1">
        <w:rPr>
          <w:color w:val="000000"/>
        </w:rPr>
        <w:t xml:space="preserve"> (2)</w:t>
      </w:r>
      <w:r>
        <w:rPr>
          <w:color w:val="000000"/>
        </w:rPr>
        <w:t>.</w:t>
      </w:r>
      <w:r w:rsidR="007F046B">
        <w:rPr>
          <w:color w:val="000000"/>
        </w:rPr>
        <w:t xml:space="preserve"> The registry provided in vivo results and did conclude that </w:t>
      </w:r>
      <w:proofErr w:type="spellStart"/>
      <w:r w:rsidR="007F046B">
        <w:rPr>
          <w:color w:val="000000"/>
        </w:rPr>
        <w:t>Sipuleucel</w:t>
      </w:r>
      <w:proofErr w:type="spellEnd"/>
      <w:r w:rsidR="007F046B">
        <w:rPr>
          <w:color w:val="000000"/>
        </w:rPr>
        <w:t xml:space="preserve">-T would increase OS. Each study determined that </w:t>
      </w:r>
      <w:proofErr w:type="spellStart"/>
      <w:r w:rsidR="007F046B">
        <w:rPr>
          <w:color w:val="000000"/>
        </w:rPr>
        <w:t>Sipuleucel</w:t>
      </w:r>
      <w:proofErr w:type="spellEnd"/>
      <w:r w:rsidR="007F046B">
        <w:rPr>
          <w:color w:val="000000"/>
        </w:rPr>
        <w:t xml:space="preserve">-T was safe for use as well. </w:t>
      </w:r>
      <w:r>
        <w:rPr>
          <w:color w:val="000000"/>
        </w:rPr>
        <w:t xml:space="preserve">        </w:t>
      </w:r>
    </w:p>
    <w:p w:rsidR="002636E2" w:rsidRDefault="00863DD5" w:rsidP="0068575F">
      <w:pPr>
        <w:pBdr>
          <w:top w:val="nil"/>
          <w:left w:val="nil"/>
          <w:bottom w:val="nil"/>
          <w:right w:val="nil"/>
          <w:between w:val="nil"/>
        </w:pBdr>
        <w:spacing w:after="0" w:line="240" w:lineRule="auto"/>
        <w:jc w:val="both"/>
        <w:rPr>
          <w:color w:val="000000"/>
        </w:rPr>
      </w:pPr>
      <w:r>
        <w:rPr>
          <w:color w:val="000000"/>
        </w:rPr>
        <w:tab/>
        <w:t xml:space="preserve">These studies each contribute the conclusion that </w:t>
      </w:r>
      <w:proofErr w:type="spellStart"/>
      <w:r>
        <w:rPr>
          <w:color w:val="000000"/>
        </w:rPr>
        <w:t>Sipuleucel</w:t>
      </w:r>
      <w:proofErr w:type="spellEnd"/>
      <w:r>
        <w:rPr>
          <w:color w:val="000000"/>
        </w:rPr>
        <w:t>-T is an effective treatmen</w:t>
      </w:r>
      <w:r>
        <w:rPr>
          <w:color w:val="000000"/>
        </w:rPr>
        <w:t xml:space="preserve">t for </w:t>
      </w:r>
      <w:proofErr w:type="spellStart"/>
      <w:r>
        <w:rPr>
          <w:color w:val="000000"/>
        </w:rPr>
        <w:t>mCRPC</w:t>
      </w:r>
      <w:proofErr w:type="spellEnd"/>
      <w:r>
        <w:rPr>
          <w:color w:val="000000"/>
        </w:rPr>
        <w:t xml:space="preserve">. The available combinations of treatments for </w:t>
      </w:r>
      <w:proofErr w:type="spellStart"/>
      <w:r>
        <w:rPr>
          <w:color w:val="000000"/>
        </w:rPr>
        <w:t>mCRPC</w:t>
      </w:r>
      <w:proofErr w:type="spellEnd"/>
      <w:r>
        <w:rPr>
          <w:color w:val="000000"/>
        </w:rPr>
        <w:t xml:space="preserve"> are plentiful and can be tailored to each patient. </w:t>
      </w:r>
      <w:proofErr w:type="spellStart"/>
      <w:r>
        <w:rPr>
          <w:color w:val="000000"/>
        </w:rPr>
        <w:lastRenderedPageBreak/>
        <w:t>Sipuleucel</w:t>
      </w:r>
      <w:proofErr w:type="spellEnd"/>
      <w:r>
        <w:rPr>
          <w:color w:val="000000"/>
        </w:rPr>
        <w:t xml:space="preserve">-T has the ability to increase survival for patients, buying them invaluable time. </w:t>
      </w:r>
      <w:r w:rsidR="009377E1">
        <w:rPr>
          <w:color w:val="000000"/>
        </w:rPr>
        <w:t>Future studies should focus on finding ways to predict</w:t>
      </w:r>
      <w:r w:rsidR="0068575F">
        <w:rPr>
          <w:color w:val="000000"/>
        </w:rPr>
        <w:t xml:space="preserve"> immune</w:t>
      </w:r>
      <w:r w:rsidR="009377E1">
        <w:rPr>
          <w:color w:val="000000"/>
        </w:rPr>
        <w:t xml:space="preserve"> </w:t>
      </w:r>
      <w:proofErr w:type="spellStart"/>
      <w:r w:rsidR="009377E1">
        <w:rPr>
          <w:color w:val="000000"/>
        </w:rPr>
        <w:t>reponses</w:t>
      </w:r>
      <w:proofErr w:type="spellEnd"/>
      <w:r w:rsidR="009377E1">
        <w:rPr>
          <w:color w:val="000000"/>
        </w:rPr>
        <w:t xml:space="preserve"> to </w:t>
      </w:r>
      <w:proofErr w:type="spellStart"/>
      <w:r w:rsidR="009377E1">
        <w:rPr>
          <w:color w:val="000000"/>
        </w:rPr>
        <w:t>Sipuleucel</w:t>
      </w:r>
      <w:proofErr w:type="spellEnd"/>
      <w:r w:rsidR="009377E1">
        <w:rPr>
          <w:color w:val="000000"/>
        </w:rPr>
        <w:t>-T</w:t>
      </w:r>
      <w:r w:rsidR="0068575F">
        <w:rPr>
          <w:color w:val="000000"/>
        </w:rPr>
        <w:t xml:space="preserve">. As well as determining how </w:t>
      </w:r>
      <w:proofErr w:type="spellStart"/>
      <w:r w:rsidR="0068575F">
        <w:rPr>
          <w:color w:val="000000"/>
        </w:rPr>
        <w:t>Sipuleucel</w:t>
      </w:r>
      <w:proofErr w:type="spellEnd"/>
      <w:r w:rsidR="0068575F">
        <w:rPr>
          <w:color w:val="000000"/>
        </w:rPr>
        <w:t xml:space="preserve">-T works in tandem with other types of cancer treatments. </w:t>
      </w:r>
      <w:r>
        <w:rPr>
          <w:color w:val="000000"/>
        </w:rPr>
        <w:t xml:space="preserve">Although there is more to understand about this </w:t>
      </w:r>
      <w:r>
        <w:rPr>
          <w:color w:val="000000"/>
        </w:rPr>
        <w:t>particular immunotherapy, these studies indicate a promising future for the treatment of cancer with vaccine-based cancer therapies.</w:t>
      </w:r>
      <w:r w:rsidR="0068575F">
        <w:rPr>
          <w:color w:val="000000"/>
        </w:rPr>
        <w:t xml:space="preserve"> Personalized treatments show promising results and the field of immunotherapy research is growing. The better we can understand the mechanisms of cancer cells and the ways in which they interact with the immune system the better we can treat patients. </w:t>
      </w:r>
      <w:r>
        <w:rPr>
          <w:color w:val="000000"/>
        </w:rPr>
        <w:t xml:space="preserve">  </w:t>
      </w:r>
    </w:p>
    <w:p w:rsidR="002636E2" w:rsidRDefault="002636E2">
      <w:pPr>
        <w:spacing w:after="0" w:line="240" w:lineRule="auto"/>
        <w:jc w:val="both"/>
        <w:rPr>
          <w:b/>
          <w:sz w:val="20"/>
          <w:szCs w:val="20"/>
        </w:rPr>
      </w:pPr>
      <w:bookmarkStart w:id="1" w:name="_heading=h.gjdgxs" w:colFirst="0" w:colLast="0"/>
      <w:bookmarkEnd w:id="1"/>
    </w:p>
    <w:p w:rsidR="002636E2" w:rsidRDefault="002636E2">
      <w:pPr>
        <w:spacing w:after="0" w:line="240" w:lineRule="auto"/>
        <w:jc w:val="both"/>
        <w:rPr>
          <w:b/>
          <w:sz w:val="20"/>
          <w:szCs w:val="20"/>
        </w:rPr>
      </w:pPr>
    </w:p>
    <w:p w:rsidR="002636E2" w:rsidRDefault="00863DD5">
      <w:pPr>
        <w:spacing w:after="0" w:line="240" w:lineRule="auto"/>
        <w:jc w:val="both"/>
        <w:rPr>
          <w:b/>
          <w:sz w:val="16"/>
          <w:szCs w:val="16"/>
        </w:rPr>
      </w:pPr>
      <w:r>
        <w:rPr>
          <w:b/>
          <w:sz w:val="16"/>
          <w:szCs w:val="16"/>
        </w:rPr>
        <w:t>References</w:t>
      </w:r>
    </w:p>
    <w:p w:rsidR="002636E2" w:rsidRDefault="00863DD5" w:rsidP="009433C4">
      <w:pPr>
        <w:pStyle w:val="ListParagraph"/>
        <w:numPr>
          <w:ilvl w:val="0"/>
          <w:numId w:val="1"/>
        </w:numPr>
        <w:pBdr>
          <w:top w:val="nil"/>
          <w:left w:val="nil"/>
          <w:bottom w:val="nil"/>
          <w:right w:val="nil"/>
          <w:between w:val="nil"/>
        </w:pBdr>
        <w:spacing w:line="240" w:lineRule="auto"/>
        <w:jc w:val="left"/>
        <w:rPr>
          <w:color w:val="000000"/>
        </w:rPr>
      </w:pPr>
      <w:proofErr w:type="spellStart"/>
      <w:r w:rsidRPr="009433C4">
        <w:rPr>
          <w:color w:val="000000"/>
        </w:rPr>
        <w:t>GuhaThakurta</w:t>
      </w:r>
      <w:proofErr w:type="spellEnd"/>
      <w:r w:rsidRPr="009433C4">
        <w:rPr>
          <w:color w:val="000000"/>
        </w:rPr>
        <w:t xml:space="preserve">, D., Sheikh, N. A., Fan, L., </w:t>
      </w:r>
      <w:proofErr w:type="spellStart"/>
      <w:r w:rsidRPr="009433C4">
        <w:rPr>
          <w:color w:val="000000"/>
        </w:rPr>
        <w:t>Kandadi</w:t>
      </w:r>
      <w:proofErr w:type="spellEnd"/>
      <w:r w:rsidRPr="009433C4">
        <w:rPr>
          <w:color w:val="000000"/>
        </w:rPr>
        <w:t>, H., Meagher, T. C., Hall, S. J., . . . Drake, C. G. (2015</w:t>
      </w:r>
      <w:r w:rsidRPr="009433C4">
        <w:rPr>
          <w:color w:val="000000"/>
        </w:rPr>
        <w:t xml:space="preserve">). Humoral Immune Response against </w:t>
      </w:r>
      <w:proofErr w:type="spellStart"/>
      <w:r w:rsidRPr="009433C4">
        <w:rPr>
          <w:color w:val="000000"/>
        </w:rPr>
        <w:t>Nontargeted</w:t>
      </w:r>
      <w:proofErr w:type="spellEnd"/>
      <w:r w:rsidRPr="009433C4">
        <w:rPr>
          <w:color w:val="000000"/>
        </w:rPr>
        <w:t xml:space="preserve"> Tumor Antigens after Treatment with </w:t>
      </w:r>
      <w:proofErr w:type="spellStart"/>
      <w:r w:rsidRPr="009433C4">
        <w:rPr>
          <w:color w:val="000000"/>
        </w:rPr>
        <w:t>Sipuleucel</w:t>
      </w:r>
      <w:proofErr w:type="spellEnd"/>
      <w:r w:rsidRPr="009433C4">
        <w:rPr>
          <w:color w:val="000000"/>
        </w:rPr>
        <w:t xml:space="preserve">-T and Its Association with Improved Clinical Outcome. </w:t>
      </w:r>
      <w:r w:rsidRPr="009433C4">
        <w:rPr>
          <w:i/>
          <w:color w:val="000000"/>
        </w:rPr>
        <w:t>Clinical Cancer Research,</w:t>
      </w:r>
      <w:r w:rsidRPr="009433C4">
        <w:rPr>
          <w:color w:val="000000"/>
        </w:rPr>
        <w:t xml:space="preserve"> </w:t>
      </w:r>
      <w:r w:rsidRPr="009433C4">
        <w:rPr>
          <w:i/>
          <w:color w:val="000000"/>
        </w:rPr>
        <w:t>21</w:t>
      </w:r>
      <w:r w:rsidRPr="009433C4">
        <w:rPr>
          <w:color w:val="000000"/>
        </w:rPr>
        <w:t xml:space="preserve">(16), 3619-3630. </w:t>
      </w:r>
      <w:proofErr w:type="gramStart"/>
      <w:r w:rsidRPr="009433C4">
        <w:rPr>
          <w:color w:val="000000"/>
        </w:rPr>
        <w:t>doi:10.1158/1078-0432.ccr</w:t>
      </w:r>
      <w:proofErr w:type="gramEnd"/>
      <w:r w:rsidRPr="009433C4">
        <w:rPr>
          <w:color w:val="000000"/>
        </w:rPr>
        <w:t>-14-2334</w:t>
      </w:r>
    </w:p>
    <w:p w:rsidR="009357B8" w:rsidRPr="009433C4" w:rsidRDefault="009357B8" w:rsidP="009357B8">
      <w:pPr>
        <w:pStyle w:val="ListParagraph"/>
        <w:pBdr>
          <w:top w:val="nil"/>
          <w:left w:val="nil"/>
          <w:bottom w:val="nil"/>
          <w:right w:val="nil"/>
          <w:between w:val="nil"/>
        </w:pBdr>
        <w:spacing w:line="240" w:lineRule="auto"/>
        <w:jc w:val="left"/>
        <w:rPr>
          <w:color w:val="000000"/>
        </w:rPr>
      </w:pPr>
    </w:p>
    <w:p w:rsidR="002636E2" w:rsidRPr="009433C4" w:rsidRDefault="00863DD5" w:rsidP="009433C4">
      <w:pPr>
        <w:pStyle w:val="ListParagraph"/>
        <w:numPr>
          <w:ilvl w:val="0"/>
          <w:numId w:val="1"/>
        </w:numPr>
        <w:pBdr>
          <w:top w:val="nil"/>
          <w:left w:val="nil"/>
          <w:bottom w:val="nil"/>
          <w:right w:val="nil"/>
          <w:between w:val="nil"/>
        </w:pBdr>
        <w:spacing w:line="240" w:lineRule="auto"/>
        <w:jc w:val="left"/>
        <w:rPr>
          <w:color w:val="000000"/>
        </w:rPr>
      </w:pPr>
      <w:proofErr w:type="spellStart"/>
      <w:r w:rsidRPr="009433C4">
        <w:rPr>
          <w:color w:val="000000"/>
        </w:rPr>
        <w:t>Higano</w:t>
      </w:r>
      <w:proofErr w:type="spellEnd"/>
      <w:r w:rsidRPr="009433C4">
        <w:rPr>
          <w:color w:val="000000"/>
        </w:rPr>
        <w:t xml:space="preserve">, </w:t>
      </w:r>
      <w:proofErr w:type="spellStart"/>
      <w:r w:rsidRPr="009433C4">
        <w:rPr>
          <w:color w:val="000000"/>
        </w:rPr>
        <w:t>Celestia</w:t>
      </w:r>
      <w:proofErr w:type="spellEnd"/>
      <w:r w:rsidRPr="009433C4">
        <w:rPr>
          <w:color w:val="000000"/>
        </w:rPr>
        <w:t xml:space="preserve"> S, et al. “R</w:t>
      </w:r>
      <w:r w:rsidRPr="009433C4">
        <w:rPr>
          <w:color w:val="000000"/>
        </w:rPr>
        <w:t xml:space="preserve">eal‐World Outcomes of </w:t>
      </w:r>
      <w:proofErr w:type="spellStart"/>
      <w:r w:rsidRPr="009433C4">
        <w:rPr>
          <w:color w:val="000000"/>
        </w:rPr>
        <w:t>Sipuleucel</w:t>
      </w:r>
      <w:proofErr w:type="spellEnd"/>
      <w:r w:rsidRPr="009433C4">
        <w:rPr>
          <w:color w:val="000000"/>
        </w:rPr>
        <w:t xml:space="preserve">‐T Treatment in PROCEED, a Prospective Registry of Men with Metastatic Castration‐Resistant Prostate Cancer.” </w:t>
      </w:r>
      <w:r w:rsidRPr="009433C4">
        <w:rPr>
          <w:i/>
          <w:color w:val="000000"/>
        </w:rPr>
        <w:t>Cancer</w:t>
      </w:r>
      <w:r w:rsidRPr="009433C4">
        <w:rPr>
          <w:color w:val="000000"/>
        </w:rPr>
        <w:t xml:space="preserve">, vol. 125, no. 23, 2019, pp. 4172–4180., doi:10.1002/cncr.32445. </w:t>
      </w:r>
    </w:p>
    <w:p w:rsidR="009357B8" w:rsidRPr="009357B8" w:rsidRDefault="009433C4" w:rsidP="009357B8">
      <w:pPr>
        <w:pStyle w:val="NormalWeb"/>
        <w:numPr>
          <w:ilvl w:val="0"/>
          <w:numId w:val="1"/>
        </w:numPr>
      </w:pPr>
      <w:r>
        <w:t xml:space="preserve">Immunotherapy for cancer. (2019, September 24). Retrieved April 30, 2021, from </w:t>
      </w:r>
      <w:hyperlink r:id="rId11" w:history="1">
        <w:r w:rsidR="009357B8" w:rsidRPr="00441A16">
          <w:rPr>
            <w:rStyle w:val="Hyperlink"/>
          </w:rPr>
          <w:t>https://www.cancer.gov/about-cancer/treatment/types/immunotherapy#how-does-immunotherapy-work-against-cancer</w:t>
        </w:r>
      </w:hyperlink>
    </w:p>
    <w:p w:rsidR="002636E2" w:rsidRPr="009433C4" w:rsidRDefault="00863DD5" w:rsidP="009433C4">
      <w:pPr>
        <w:pStyle w:val="ListParagraph"/>
        <w:numPr>
          <w:ilvl w:val="0"/>
          <w:numId w:val="1"/>
        </w:numPr>
        <w:pBdr>
          <w:top w:val="nil"/>
          <w:left w:val="nil"/>
          <w:bottom w:val="nil"/>
          <w:right w:val="nil"/>
          <w:between w:val="nil"/>
        </w:pBdr>
        <w:spacing w:line="240" w:lineRule="auto"/>
        <w:jc w:val="left"/>
        <w:rPr>
          <w:color w:val="000000"/>
        </w:rPr>
      </w:pPr>
      <w:proofErr w:type="spellStart"/>
      <w:r w:rsidRPr="009433C4">
        <w:rPr>
          <w:color w:val="000000"/>
        </w:rPr>
        <w:t>Kantoff</w:t>
      </w:r>
      <w:proofErr w:type="spellEnd"/>
      <w:r w:rsidRPr="009433C4">
        <w:rPr>
          <w:color w:val="000000"/>
        </w:rPr>
        <w:t xml:space="preserve">, P. W., M.D., </w:t>
      </w:r>
      <w:proofErr w:type="spellStart"/>
      <w:r w:rsidRPr="009433C4">
        <w:rPr>
          <w:color w:val="000000"/>
        </w:rPr>
        <w:t>Higano</w:t>
      </w:r>
      <w:proofErr w:type="spellEnd"/>
      <w:r w:rsidRPr="009433C4">
        <w:rPr>
          <w:color w:val="000000"/>
        </w:rPr>
        <w:t>, C. S., M.D.</w:t>
      </w:r>
      <w:r w:rsidRPr="009433C4">
        <w:rPr>
          <w:color w:val="000000"/>
        </w:rPr>
        <w:t xml:space="preserve">, Shore, N. D., M.D., Berger, E. R., M.D., Small, E. J., M.D., </w:t>
      </w:r>
      <w:proofErr w:type="spellStart"/>
      <w:r w:rsidRPr="009433C4">
        <w:rPr>
          <w:color w:val="000000"/>
        </w:rPr>
        <w:t>Penson</w:t>
      </w:r>
      <w:proofErr w:type="spellEnd"/>
      <w:r w:rsidRPr="009433C4">
        <w:rPr>
          <w:color w:val="000000"/>
        </w:rPr>
        <w:t xml:space="preserve">, D. F., </w:t>
      </w:r>
      <w:r w:rsidRPr="009433C4">
        <w:rPr>
          <w:color w:val="000000"/>
        </w:rPr>
        <w:lastRenderedPageBreak/>
        <w:t xml:space="preserve">M.D., . . . </w:t>
      </w:r>
      <w:proofErr w:type="spellStart"/>
      <w:r w:rsidRPr="009433C4">
        <w:rPr>
          <w:color w:val="000000"/>
        </w:rPr>
        <w:t>Schellhammer</w:t>
      </w:r>
      <w:proofErr w:type="spellEnd"/>
      <w:r w:rsidRPr="009433C4">
        <w:rPr>
          <w:color w:val="000000"/>
        </w:rPr>
        <w:t xml:space="preserve">, P. F., M.D. (2010). </w:t>
      </w:r>
      <w:proofErr w:type="spellStart"/>
      <w:r w:rsidRPr="009433C4">
        <w:rPr>
          <w:color w:val="000000"/>
        </w:rPr>
        <w:t>Sipuleucel</w:t>
      </w:r>
      <w:proofErr w:type="spellEnd"/>
      <w:r w:rsidRPr="009433C4">
        <w:rPr>
          <w:color w:val="000000"/>
        </w:rPr>
        <w:t xml:space="preserve">-T Immunotherapy for Castration-Resistant Prostate Cancer. </w:t>
      </w:r>
      <w:r w:rsidRPr="009433C4">
        <w:rPr>
          <w:i/>
          <w:color w:val="000000"/>
        </w:rPr>
        <w:t>New England Journal of Medicine,</w:t>
      </w:r>
      <w:r w:rsidRPr="009433C4">
        <w:rPr>
          <w:color w:val="000000"/>
        </w:rPr>
        <w:t xml:space="preserve"> </w:t>
      </w:r>
      <w:r w:rsidRPr="009433C4">
        <w:rPr>
          <w:i/>
          <w:color w:val="000000"/>
        </w:rPr>
        <w:t>363</w:t>
      </w:r>
      <w:r w:rsidRPr="009433C4">
        <w:rPr>
          <w:color w:val="000000"/>
        </w:rPr>
        <w:t>(5), 411-422. doi:10.1056/N</w:t>
      </w:r>
      <w:r w:rsidRPr="009433C4">
        <w:rPr>
          <w:color w:val="000000"/>
        </w:rPr>
        <w:t>EJMoa1001294</w:t>
      </w:r>
    </w:p>
    <w:p w:rsidR="002636E2" w:rsidRPr="009433C4" w:rsidRDefault="00863DD5" w:rsidP="009433C4">
      <w:pPr>
        <w:pStyle w:val="ListParagraph"/>
        <w:numPr>
          <w:ilvl w:val="0"/>
          <w:numId w:val="1"/>
        </w:numPr>
        <w:pBdr>
          <w:top w:val="nil"/>
          <w:left w:val="nil"/>
          <w:bottom w:val="nil"/>
          <w:right w:val="nil"/>
          <w:between w:val="nil"/>
        </w:pBdr>
        <w:spacing w:line="240" w:lineRule="auto"/>
        <w:jc w:val="left"/>
        <w:rPr>
          <w:color w:val="000000"/>
        </w:rPr>
      </w:pPr>
      <w:r w:rsidRPr="009433C4">
        <w:rPr>
          <w:color w:val="000000"/>
        </w:rPr>
        <w:t xml:space="preserve">Small, E. J., Lance, R. S., Gardner, T. A., Karsh, L. I., Fong, L., McCoy, C., . . . Shore, N. D. (2015). A Randomized Phase II Trial of </w:t>
      </w:r>
      <w:proofErr w:type="spellStart"/>
      <w:r w:rsidRPr="009433C4">
        <w:rPr>
          <w:color w:val="000000"/>
        </w:rPr>
        <w:t>Sipuleucel</w:t>
      </w:r>
      <w:proofErr w:type="spellEnd"/>
      <w:r w:rsidRPr="009433C4">
        <w:rPr>
          <w:color w:val="000000"/>
        </w:rPr>
        <w:t xml:space="preserve">-T with Concurrent versus Sequential </w:t>
      </w:r>
      <w:proofErr w:type="spellStart"/>
      <w:r w:rsidRPr="009433C4">
        <w:rPr>
          <w:color w:val="000000"/>
        </w:rPr>
        <w:t>Abiraterone</w:t>
      </w:r>
      <w:proofErr w:type="spellEnd"/>
      <w:r w:rsidRPr="009433C4">
        <w:rPr>
          <w:color w:val="000000"/>
        </w:rPr>
        <w:t xml:space="preserve"> Acetate plus Prednisone in Metastatic Castration-Resistant P</w:t>
      </w:r>
      <w:r w:rsidRPr="009433C4">
        <w:rPr>
          <w:color w:val="000000"/>
        </w:rPr>
        <w:t xml:space="preserve">rostate Cancer. </w:t>
      </w:r>
      <w:r w:rsidRPr="009433C4">
        <w:rPr>
          <w:i/>
          <w:color w:val="000000"/>
        </w:rPr>
        <w:t>Clinical Cancer Research,</w:t>
      </w:r>
      <w:r w:rsidRPr="009433C4">
        <w:rPr>
          <w:color w:val="000000"/>
        </w:rPr>
        <w:t xml:space="preserve"> </w:t>
      </w:r>
      <w:r w:rsidRPr="009433C4">
        <w:rPr>
          <w:i/>
          <w:color w:val="000000"/>
        </w:rPr>
        <w:t>21</w:t>
      </w:r>
      <w:r w:rsidRPr="009433C4">
        <w:rPr>
          <w:color w:val="000000"/>
        </w:rPr>
        <w:t xml:space="preserve">(17), 3862-3869. </w:t>
      </w:r>
      <w:proofErr w:type="gramStart"/>
      <w:r w:rsidRPr="009433C4">
        <w:rPr>
          <w:color w:val="000000"/>
        </w:rPr>
        <w:t>doi:10.1158/1078-0432.ccr</w:t>
      </w:r>
      <w:proofErr w:type="gramEnd"/>
      <w:r w:rsidRPr="009433C4">
        <w:rPr>
          <w:color w:val="000000"/>
        </w:rPr>
        <w:t>-15-0079</w:t>
      </w:r>
    </w:p>
    <w:p w:rsidR="002636E2" w:rsidRDefault="002636E2">
      <w:pPr>
        <w:pBdr>
          <w:top w:val="nil"/>
          <w:left w:val="nil"/>
          <w:bottom w:val="nil"/>
          <w:right w:val="nil"/>
          <w:between w:val="nil"/>
        </w:pBdr>
        <w:spacing w:line="240" w:lineRule="auto"/>
        <w:ind w:left="567" w:hanging="567"/>
        <w:jc w:val="left"/>
        <w:rPr>
          <w:color w:val="000000"/>
        </w:rPr>
      </w:pPr>
    </w:p>
    <w:p w:rsidR="002636E2" w:rsidRDefault="002636E2">
      <w:pPr>
        <w:spacing w:after="0"/>
        <w:ind w:left="720" w:hanging="810"/>
        <w:jc w:val="both"/>
        <w:rPr>
          <w:sz w:val="20"/>
          <w:szCs w:val="20"/>
        </w:rPr>
      </w:pPr>
    </w:p>
    <w:p w:rsidR="002636E2" w:rsidRDefault="002636E2">
      <w:pPr>
        <w:spacing w:after="0"/>
        <w:ind w:left="720" w:hanging="810"/>
        <w:jc w:val="left"/>
        <w:rPr>
          <w:sz w:val="20"/>
          <w:szCs w:val="20"/>
        </w:rPr>
      </w:pPr>
    </w:p>
    <w:sectPr w:rsidR="002636E2">
      <w:headerReference w:type="default" r:id="rId12"/>
      <w:type w:val="continuous"/>
      <w:pgSz w:w="12240" w:h="15840"/>
      <w:pgMar w:top="1440" w:right="1080" w:bottom="1440" w:left="1080" w:header="720" w:footer="720" w:gutter="0"/>
      <w:cols w:num="2" w:space="720" w:equalWidth="0">
        <w:col w:w="4680" w:space="720"/>
        <w:col w:w="4680" w:space="0"/>
      </w:cols>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DD5" w:rsidRDefault="00863DD5">
      <w:pPr>
        <w:spacing w:after="0" w:line="240" w:lineRule="auto"/>
      </w:pPr>
      <w:r>
        <w:separator/>
      </w:r>
    </w:p>
  </w:endnote>
  <w:endnote w:type="continuationSeparator" w:id="0">
    <w:p w:rsidR="00863DD5" w:rsidRDefault="0086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attrocen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vPSSym">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2" w:rsidRDefault="00863DD5">
    <w:pPr>
      <w:pBdr>
        <w:top w:val="nil"/>
        <w:left w:val="nil"/>
        <w:bottom w:val="nil"/>
        <w:right w:val="nil"/>
        <w:between w:val="nil"/>
      </w:pBdr>
      <w:tabs>
        <w:tab w:val="center" w:pos="4680"/>
        <w:tab w:val="right" w:pos="9360"/>
      </w:tabs>
      <w:spacing w:after="0" w:line="240" w:lineRule="auto"/>
      <w:jc w:val="both"/>
      <w:rPr>
        <w:b/>
        <w:color w:val="000000"/>
      </w:rPr>
    </w:pPr>
    <w:r>
      <w:rPr>
        <w:color w:val="000000"/>
      </w:rPr>
      <w:t>2</w:t>
    </w:r>
    <w:r>
      <w:rPr>
        <w:b/>
        <w:color w:val="000000"/>
      </w:rPr>
      <w:t xml:space="preserve"> | </w:t>
    </w:r>
    <w:r>
      <w:rPr>
        <w:color w:val="000000"/>
        <w:sz w:val="18"/>
        <w:szCs w:val="18"/>
      </w:rPr>
      <w:t>©MRCMB 2012. All Rights Reserved.</w:t>
    </w:r>
    <w:r>
      <w:rPr>
        <w:rFonts w:ascii="AdvPSSym" w:eastAsia="AdvPSSym" w:hAnsi="AdvPSSym" w:cs="AdvPSSym"/>
        <w:color w:val="000000"/>
        <w:sz w:val="14"/>
        <w:szCs w:val="14"/>
      </w:rPr>
      <w:t xml:space="preserve"> </w:t>
    </w:r>
  </w:p>
  <w:p w:rsidR="002636E2" w:rsidRDefault="002636E2">
    <w:pPr>
      <w:pBdr>
        <w:top w:val="single" w:sz="4" w:space="1" w:color="D9D9D9"/>
        <w:left w:val="nil"/>
        <w:bottom w:val="nil"/>
        <w:right w:val="nil"/>
        <w:between w:val="nil"/>
      </w:pBdr>
      <w:tabs>
        <w:tab w:val="center" w:pos="4680"/>
        <w:tab w:val="right" w:pos="9360"/>
      </w:tabs>
      <w:spacing w:after="0" w:line="240" w:lineRule="auto"/>
      <w:rPr>
        <w:b/>
        <w:color w:val="000000"/>
      </w:rPr>
    </w:pPr>
  </w:p>
  <w:p w:rsidR="002636E2" w:rsidRDefault="002636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DD5" w:rsidRDefault="00863DD5">
      <w:pPr>
        <w:spacing w:after="0" w:line="240" w:lineRule="auto"/>
      </w:pPr>
      <w:r>
        <w:separator/>
      </w:r>
    </w:p>
  </w:footnote>
  <w:footnote w:type="continuationSeparator" w:id="0">
    <w:p w:rsidR="00863DD5" w:rsidRDefault="00863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2" w:rsidRDefault="00863DD5">
    <w:pPr>
      <w:pBdr>
        <w:top w:val="nil"/>
        <w:left w:val="nil"/>
        <w:bottom w:val="nil"/>
        <w:right w:val="nil"/>
        <w:between w:val="nil"/>
      </w:pBdr>
      <w:tabs>
        <w:tab w:val="center" w:pos="4680"/>
        <w:tab w:val="right" w:pos="9360"/>
      </w:tabs>
      <w:spacing w:after="0" w:line="240" w:lineRule="auto"/>
      <w:jc w:val="both"/>
      <w:rPr>
        <w:color w:val="000000"/>
        <w:sz w:val="28"/>
        <w:szCs w:val="28"/>
      </w:rPr>
    </w:pPr>
    <w:r>
      <w:rPr>
        <w:noProof/>
        <w:color w:val="000000"/>
        <w:sz w:val="28"/>
        <w:szCs w:val="28"/>
      </w:rPr>
      <mc:AlternateContent>
        <mc:Choice Requires="wpg">
          <w:drawing>
            <wp:anchor distT="0" distB="0" distL="114300" distR="114300" simplePos="0" relativeHeight="251658240" behindDoc="0" locked="0" layoutInCell="1" hidden="0" allowOverlap="1">
              <wp:simplePos x="0" y="0"/>
              <wp:positionH relativeFrom="page">
                <wp:posOffset>312420</wp:posOffset>
              </wp:positionH>
              <wp:positionV relativeFrom="topMargin">
                <wp:posOffset>323215</wp:posOffset>
              </wp:positionV>
              <wp:extent cx="7156450" cy="1172210"/>
              <wp:effectExtent l="0" t="0" r="0" b="0"/>
              <wp:wrapNone/>
              <wp:docPr id="6" name="Group 6"/>
              <wp:cNvGraphicFramePr/>
              <a:graphic xmlns:a="http://schemas.openxmlformats.org/drawingml/2006/main">
                <a:graphicData uri="http://schemas.microsoft.com/office/word/2010/wordprocessingGroup">
                  <wpg:wgp>
                    <wpg:cNvGrpSpPr/>
                    <wpg:grpSpPr>
                      <a:xfrm>
                        <a:off x="0" y="0"/>
                        <a:ext cx="7156450" cy="1172210"/>
                        <a:chOff x="1767775" y="3193895"/>
                        <a:chExt cx="7156450" cy="1172210"/>
                      </a:xfrm>
                    </wpg:grpSpPr>
                    <wpg:grpSp>
                      <wpg:cNvPr id="1" name="Group 1"/>
                      <wpg:cNvGrpSpPr/>
                      <wpg:grpSpPr>
                        <a:xfrm>
                          <a:off x="1767775" y="3193895"/>
                          <a:ext cx="7156450" cy="1172210"/>
                          <a:chOff x="101" y="66"/>
                          <a:chExt cx="11663" cy="2069"/>
                        </a:xfrm>
                      </wpg:grpSpPr>
                      <wps:wsp>
                        <wps:cNvPr id="2" name="Rectangle 2"/>
                        <wps:cNvSpPr/>
                        <wps:spPr>
                          <a:xfrm>
                            <a:off x="101" y="66"/>
                            <a:ext cx="11650" cy="2050"/>
                          </a:xfrm>
                          <a:prstGeom prst="rect">
                            <a:avLst/>
                          </a:prstGeom>
                          <a:noFill/>
                          <a:ln>
                            <a:noFill/>
                          </a:ln>
                        </wps:spPr>
                        <wps:txbx>
                          <w:txbxContent>
                            <w:p w:rsidR="002636E2" w:rsidRDefault="002636E2">
                              <w:pPr>
                                <w:spacing w:after="0" w:line="240" w:lineRule="auto"/>
                                <w:jc w:val="left"/>
                                <w:textDirection w:val="btLr"/>
                              </w:pPr>
                            </w:p>
                          </w:txbxContent>
                        </wps:txbx>
                        <wps:bodyPr spcFirstLastPara="1" wrap="square" lIns="91425" tIns="91425" rIns="91425" bIns="91425" anchor="ctr" anchorCtr="0">
                          <a:noAutofit/>
                        </wps:bodyPr>
                      </wps:wsp>
                      <wps:wsp>
                        <wps:cNvPr id="3" name="Rectangle 3"/>
                        <wps:cNvSpPr/>
                        <wps:spPr>
                          <a:xfrm>
                            <a:off x="101" y="66"/>
                            <a:ext cx="9707" cy="2069"/>
                          </a:xfrm>
                          <a:prstGeom prst="rect">
                            <a:avLst/>
                          </a:prstGeom>
                          <a:solidFill>
                            <a:srgbClr val="E36B08"/>
                          </a:solidFill>
                          <a:ln>
                            <a:noFill/>
                          </a:ln>
                        </wps:spPr>
                        <wps:txbx>
                          <w:txbxContent>
                            <w:p w:rsidR="002636E2" w:rsidRDefault="002636E2">
                              <w:pPr>
                                <w:spacing w:after="0" w:line="240" w:lineRule="auto"/>
                                <w:jc w:val="left"/>
                                <w:textDirection w:val="btLr"/>
                              </w:pPr>
                            </w:p>
                            <w:p w:rsidR="002636E2" w:rsidRDefault="00863DD5">
                              <w:pPr>
                                <w:spacing w:after="0" w:line="240" w:lineRule="auto"/>
                                <w:jc w:val="left"/>
                                <w:textDirection w:val="btLr"/>
                              </w:pPr>
                              <w:proofErr w:type="spellStart"/>
                              <w:r>
                                <w:rPr>
                                  <w:rFonts w:ascii="Quattrocento Sans" w:eastAsia="Quattrocento Sans" w:hAnsi="Quattrocento Sans" w:cs="Quattrocento Sans"/>
                                  <w:b/>
                                  <w:color w:val="000000"/>
                                  <w:sz w:val="44"/>
                                </w:rPr>
                                <w:t>Microreviews</w:t>
                              </w:r>
                              <w:proofErr w:type="spellEnd"/>
                              <w:r>
                                <w:rPr>
                                  <w:rFonts w:ascii="Quattrocento Sans" w:eastAsia="Quattrocento Sans" w:hAnsi="Quattrocento Sans" w:cs="Quattrocento Sans"/>
                                  <w:b/>
                                  <w:color w:val="000000"/>
                                  <w:sz w:val="44"/>
                                </w:rPr>
                                <w:t xml:space="preserve"> in Cell and Molecular Biology</w:t>
                              </w:r>
                            </w:p>
                          </w:txbxContent>
                        </wps:txbx>
                        <wps:bodyPr spcFirstLastPara="1" wrap="square" lIns="91425" tIns="45700" rIns="91425" bIns="45700" anchor="t" anchorCtr="0">
                          <a:noAutofit/>
                        </wps:bodyPr>
                      </wps:wsp>
                      <wps:wsp>
                        <wps:cNvPr id="4" name="Rectangle 4"/>
                        <wps:cNvSpPr/>
                        <wps:spPr>
                          <a:xfrm>
                            <a:off x="9662" y="66"/>
                            <a:ext cx="2102" cy="2068"/>
                          </a:xfrm>
                          <a:prstGeom prst="rect">
                            <a:avLst/>
                          </a:prstGeom>
                          <a:solidFill>
                            <a:srgbClr val="7F7F7F"/>
                          </a:solidFill>
                          <a:ln>
                            <a:noFill/>
                          </a:ln>
                        </wps:spPr>
                        <wps:txbx>
                          <w:txbxContent>
                            <w:p w:rsidR="002636E2" w:rsidRDefault="00863DD5">
                              <w:pPr>
                                <w:spacing w:after="0" w:line="240" w:lineRule="auto"/>
                                <w:jc w:val="left"/>
                                <w:textDirection w:val="btLr"/>
                              </w:pPr>
                              <w:r>
                                <w:rPr>
                                  <w:rFonts w:ascii="Arial" w:eastAsia="Arial" w:hAnsi="Arial" w:cs="Arial"/>
                                  <w:color w:val="FFFFFF"/>
                                  <w:sz w:val="36"/>
                                </w:rPr>
                                <w:t>2021</w:t>
                              </w:r>
                            </w:p>
                          </w:txbxContent>
                        </wps:txbx>
                        <wps:bodyPr spcFirstLastPara="1" wrap="square" lIns="91425" tIns="45700" rIns="91425" bIns="45700"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156450" cy="1172210"/>
                      </a:xfrm>
                      <a:prstGeom prst="rect"/>
                      <a:ln/>
                    </pic:spPr>
                  </pic:pic>
                </a:graphicData>
              </a:graphic>
            </wp:anchor>
          </w:drawing>
        </mc:Fallback>
      </mc:AlternateContent>
    </w:r>
    <w:proofErr w:type="spellStart"/>
    <w:r>
      <w:rPr>
        <w:color w:val="000000"/>
        <w:sz w:val="28"/>
        <w:szCs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2" w:rsidRDefault="00863DD5">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sz w:val="18"/>
        <w:szCs w:val="18"/>
      </w:rPr>
      <w:t>Microreviews</w:t>
    </w:r>
    <w:proofErr w:type="spellEnd"/>
    <w:r>
      <w:rPr>
        <w:color w:val="000000"/>
        <w:sz w:val="18"/>
        <w:szCs w:val="18"/>
      </w:rPr>
      <w:t xml:space="preserve"> in Cell and Molecular Biology</w:t>
    </w:r>
    <w:r>
      <w:rPr>
        <w:color w:val="000000"/>
      </w:rPr>
      <w:t xml:space="preserve"> </w:t>
    </w:r>
    <w:r>
      <w:rPr>
        <w:color w:val="000000"/>
        <w:sz w:val="18"/>
        <w:szCs w:val="18"/>
      </w:rPr>
      <w:t>Volume: 1. Issue: 1 (2012) 1-3</w:t>
    </w: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7667F"/>
    <w:multiLevelType w:val="hybridMultilevel"/>
    <w:tmpl w:val="4358097A"/>
    <w:lvl w:ilvl="0" w:tplc="C95EA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2"/>
    <w:rsid w:val="002636E2"/>
    <w:rsid w:val="002C23F6"/>
    <w:rsid w:val="00351267"/>
    <w:rsid w:val="0068575F"/>
    <w:rsid w:val="00762F53"/>
    <w:rsid w:val="007F046B"/>
    <w:rsid w:val="00863DD5"/>
    <w:rsid w:val="00934A9B"/>
    <w:rsid w:val="009357B8"/>
    <w:rsid w:val="009377E1"/>
    <w:rsid w:val="009433C4"/>
    <w:rsid w:val="00C617A2"/>
    <w:rsid w:val="00E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19A4"/>
  <w15:docId w15:val="{770A2EA7-4DDF-497B-AF69-4D0110BD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apple-tab-span">
    <w:name w:val="apple-tab-span"/>
    <w:basedOn w:val="DefaultParagraphFont"/>
    <w:rsid w:val="00222DA3"/>
  </w:style>
  <w:style w:type="paragraph" w:styleId="NormalWeb">
    <w:name w:val="Normal (Web)"/>
    <w:basedOn w:val="Normal"/>
    <w:uiPriority w:val="99"/>
    <w:unhideWhenUsed/>
    <w:rsid w:val="00222DA3"/>
    <w:pPr>
      <w:spacing w:before="100" w:beforeAutospacing="1" w:after="100" w:afterAutospacing="1" w:line="240" w:lineRule="auto"/>
      <w:jc w:val="left"/>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43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8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gov/about-cancer/treatment/types/immunotherapy#how-does-immunotherapy-work-against-cance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waBMSZqXMpkTkJchzbaoaesZzA==">AMUW2mUbQuBXq42f9UkCR9dcFHIFwoYBLPFZB8wQd/ZN7lIWc4ruTQu0JKOD1LKAX66Pa42HU6+hxflVr4Ai+G0svWm1xYjmPYHT6oiq581ISX7VG3fq2dAoyHFBBYDSKhij05Kl3dAZ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OSU Edmon Low Library</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Macy Reedy</dc:creator>
  <cp:lastModifiedBy>Wright, Katy</cp:lastModifiedBy>
  <cp:revision>5</cp:revision>
  <cp:lastPrinted>2021-04-30T19:11:00Z</cp:lastPrinted>
  <dcterms:created xsi:type="dcterms:W3CDTF">2020-01-15T22:44:00Z</dcterms:created>
  <dcterms:modified xsi:type="dcterms:W3CDTF">2021-04-30T20:15:00Z</dcterms:modified>
</cp:coreProperties>
</file>