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000000" w:rsidDel="00000000" w:rsidRDefault="00000000" w14:paraId="00000001" w:rsidP="00000000" w:rsidRPr="00000000">
      <w:pPr>
        <w:rPr>
          <w:rFonts w:ascii="Times New Roman" w:cs="Times New Roman" w:eastAsia="Times New Roman" w:hAnsi="Times New Roman"/>
          <w:sz w:val="36"/>
          <w:szCs w:val="36"/>
        </w:rPr>
      </w:pPr>
      <w:r w:rsidR="00000000" w:rsidDel="00000000" w:rsidRPr="00000000">
        <w:rPr>
          <w:rtl w:val="0"/>
          <w:rFonts w:ascii="Times New Roman" w:cs="Times New Roman" w:eastAsia="Times New Roman" w:hAnsi="Times New Roman"/>
          <w:sz w:val="36"/>
          <w:szCs w:val="36"/>
        </w:rPr>
        <w:t>The Use of Probiotic Supplements To Improve Symptoms of Alzheimer’s Disease</w:t>
      </w:r>
    </w:p>
    <w:p w:rsidR="00000000" w:rsidDel="00000000" w:rsidRDefault="00000000" w14:paraId="00000002" w:rsidP="00000000" w:rsidRPr="00000000">
      <w:pPr/>
      <w:r w:rsidR="00000000" w:rsidDel="00000000" w:rsidRPr="00000000">
        <w:rPr>
          <w:rtl w:val="0"/>
        </w:rPr>
      </w:r>
    </w:p>
    <w:p>
      <w:r>
        <w:rPr>
          <w:rFonts w:ascii="Times New Roman"/>
        </w:rPr>
        <w:t>Vanessa Hernandez</w:t>
      </w:r>
    </w:p>
    <w:p w:rsidR="00000000" w:rsidDel="00000000" w:rsidRDefault="00000000" w14:paraId="00000003" w:rsidP="00000000" w:rsidRPr="00000000">
      <w:pPr>
        <w:rPr>
          <w:rFonts w:ascii="Times New Roman" w:cs="Times New Roman" w:eastAsia="Times New Roman" w:hAnsi="Times New Roman"/>
        </w:rPr>
      </w:pPr>
      <w:r w:rsidR="00000000" w:rsidDel="00000000" w:rsidRPr="00000000">
        <w:rPr>
          <w:rtl w:val="0"/>
          <w:rFonts w:ascii="Times New Roman" w:cs="Times New Roman" w:eastAsia="Times New Roman" w:hAnsi="Times New Roman"/>
        </w:rPr>
        <w:t>Department of Microbiology and Molecular Genetics, Oklahoma State University, Stillwater, OK 74078</w:t>
      </w:r>
    </w:p>
    <w:p w:rsidR="00000000" w:rsidDel="00000000" w:rsidRDefault="00000000" w14:paraId="00000004" w:rsidP="00000000" w:rsidRPr="00000000">
      <w:pPr>
        <w:rPr>
          <w:rFonts w:ascii="Times New Roman" w:cs="Times New Roman" w:eastAsia="Times New Roman" w:hAnsi="Times New Roman"/>
          <w:sz w:val="24"/>
          <w:szCs w:val="24"/>
        </w:rPr>
      </w:pPr>
      <w:r w:rsidR="00000000" w:rsidDel="00000000" w:rsidRPr="00000000">
        <w:rPr>
          <w:rtl w:val="0"/>
        </w:rPr>
      </w:r>
    </w:p>
    <w:p w:rsidR="00000000" w:rsidDel="00000000" w:rsidRDefault="00000000" w14:paraId="00000005" w:rsidP="00000000" w:rsidRPr="00000000">
      <w:pPr>
        <w:rPr>
          <w:rFonts w:ascii="Times New Roman" w:cs="Times New Roman" w:eastAsia="Times New Roman" w:hAnsi="Times New Roman"/>
          <w:sz w:val="20"/>
          <w:szCs w:val="20"/>
        </w:rPr>
      </w:pPr>
      <w:r w:rsidR="00000000" w:rsidDel="00000000" w:rsidRPr="00000000">
        <w:rPr>
          <w:rtl w:val="0"/>
          <w:b/>
          <w:rFonts w:ascii="Times New Roman" w:cs="Times New Roman" w:eastAsia="Times New Roman" w:hAnsi="Times New Roman"/>
          <w:sz w:val="20"/>
          <w:szCs w:val="20"/>
        </w:rPr>
        <w:t xml:space="preserve">Keywords: </w:t>
      </w:r>
      <w:r w:rsidR="00000000" w:rsidDel="00000000" w:rsidRPr="00000000">
        <w:rPr>
          <w:rtl w:val="0"/>
          <w:rFonts w:ascii="Times New Roman" w:cs="Times New Roman" w:eastAsia="Times New Roman" w:hAnsi="Times New Roman"/>
          <w:sz w:val="20"/>
          <w:szCs w:val="20"/>
        </w:rPr>
        <w:t>Alzheimer’s disease, Oxidative stress, probiotic supplements</w:t>
      </w:r>
    </w:p>
    <w:p w:rsidR="00000000" w:rsidDel="00000000" w:rsidRDefault="00000000" w14:paraId="00000006" w:rsidP="00000000" w:rsidRPr="00000000">
      <w:pPr>
        <w:rPr>
          <w:b/>
          <w:rFonts w:ascii="Times New Roman" w:cs="Times New Roman" w:eastAsia="Times New Roman" w:hAnsi="Times New Roman"/>
          <w:sz w:val="24"/>
          <w:szCs w:val="24"/>
        </w:rPr>
      </w:pPr>
      <w:r>
        <w:rPr>
          <w:noProof/>
        </w:rPr>
        <w:pict>
          <v:rect style="width:0.0pt;height:1.5pt" o:hr="t" o:hrstd="t" o:hralign="center" fillcolor="#A0A0A0" stroked="f"/>
        </w:pict>
      </w:r>
      <w:r w:rsidR="00000000" w:rsidDel="00000000" w:rsidRPr="00000000">
        <w:rPr>
          <w:rtl w:val="0"/>
        </w:rPr>
      </w:r>
    </w:p>
    <w:p w:rsidR="00000000" w:rsidDel="00000000" w:rsidRDefault="00000000" w14:paraId="00000007" w:rsidP="00000000" w:rsidRPr="00000000">
      <w:pPr>
        <w:rPr>
          <w:b/>
          <w:rFonts w:ascii="Times New Roman" w:cs="Times New Roman" w:eastAsia="Times New Roman" w:hAnsi="Times New Roman"/>
          <w:sz w:val="24"/>
          <w:szCs w:val="24"/>
        </w:rPr>
      </w:pPr>
      <w:r w:rsidR="00000000" w:rsidDel="00000000" w:rsidRPr="00000000">
        <w:rPr>
          <w:rtl w:val="0"/>
          <w:b/>
          <w:rFonts w:ascii="Times New Roman" w:cs="Times New Roman" w:eastAsia="Times New Roman" w:hAnsi="Times New Roman"/>
          <w:sz w:val="24"/>
          <w:szCs w:val="24"/>
        </w:rPr>
        <w:t xml:space="preserve"> </w:t>
      </w:r>
    </w:p>
    <w:p w:rsidR="00000000" w:rsidDel="00000000" w:rsidRDefault="00000000" w14:paraId="00000008" w:rsidP="00000000" w:rsidRPr="00000000">
      <w:pPr>
        <w:rPr>
          <w:b/>
          <w:rFonts w:ascii="Times New Roman" w:cs="Times New Roman" w:eastAsia="Times New Roman" w:hAnsi="Times New Roman"/>
          <w:sz w:val="24"/>
          <w:szCs w:val="24"/>
        </w:rPr>
      </w:pPr>
      <w:r w:rsidR="00000000" w:rsidDel="00000000" w:rsidRPr="00000000">
        <w:rPr>
          <w:rtl w:val="0"/>
          <w:b/>
          <w:rFonts w:ascii="Times New Roman" w:cs="Times New Roman" w:eastAsia="Times New Roman" w:hAnsi="Times New Roman"/>
          <w:sz w:val="24"/>
          <w:szCs w:val="24"/>
        </w:rPr>
        <w:t>Abstract:</w:t>
      </w:r>
    </w:p>
    <w:p w:rsidR="00000000" w:rsidDel="00000000" w:rsidRDefault="00000000" w14:paraId="00000009" w:rsidP="00000000" w:rsidRPr="00000000">
      <w:pPr>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 xml:space="preserve">Alzherimer’s disease has been a growing concern in elderly patients in recent years. There are many factors that have been linked to Alzheimer's disease such as inflammation, oxidative stress, and disruption of gastrointestinal microbiota. Probiotic supplements were proposed as a solution to improve cognitive, and cellular functions in patients with Alzheimer's disease. It was found that after a 90 day period of dietary probiotic supplements containing fermented milk and kefir grains subjects with Alzheimer's disease seemed to improve with their cognitive dysfunction, as well as the levels of reactive oxygen species in their systems. </w:t>
      </w:r>
    </w:p>
    <w:p w:rsidR="00000000" w:rsidDel="00000000" w:rsidRDefault="00000000" w14:paraId="0000000A" w:rsidP="00000000" w:rsidRPr="00000000">
      <w:pPr>
        <w:rPr>
          <w:b/>
          <w:rFonts w:ascii="Times New Roman" w:cs="Times New Roman" w:eastAsia="Times New Roman" w:hAnsi="Times New Roman"/>
          <w:sz w:val="24"/>
          <w:szCs w:val="24"/>
        </w:rPr>
      </w:pPr>
      <w:r w:rsidR="00000000" w:rsidDel="00000000" w:rsidRPr="00000000">
        <w:rPr>
          <w:rtl w:val="0"/>
        </w:rPr>
      </w:r>
    </w:p>
    <w:p w:rsidR="00000000" w:rsidDel="00000000" w:rsidRDefault="00000000" w14:paraId="0000000B" w:rsidP="00000000" w:rsidRPr="00000000">
      <w:pPr>
        <w:rPr>
          <w:b/>
          <w:rFonts w:ascii="Times New Roman" w:cs="Times New Roman" w:eastAsia="Times New Roman" w:hAnsi="Times New Roman"/>
          <w:sz w:val="24"/>
          <w:szCs w:val="24"/>
        </w:rPr>
      </w:pPr>
      <w:r>
        <w:rPr>
          <w:noProof/>
        </w:rPr>
        <w:pict>
          <v:rect style="width:0.0pt;height:1.5pt" o:hr="t" o:hrstd="t" o:hralign="center" fillcolor="#A0A0A0" stroked="f"/>
        </w:pict>
      </w:r>
      <w:r w:rsidR="00000000" w:rsidDel="00000000" w:rsidRPr="00000000">
        <w:rPr>
          <w:rtl w:val="0"/>
        </w:rPr>
      </w:r>
    </w:p>
    <w:p w:rsidR="00000000" w:rsidDel="00000000" w:rsidRDefault="00000000" w14:paraId="0000000C" w:rsidP="00000000" w:rsidRPr="00000000">
      <w:pPr>
        <w:sectPr>
          <w:pgNumType w:start="1"/>
          <w:pgSz w:w="12240" w:h="15840" w:orient="portrait"/>
          <w:pgMar w:left="1440" w:right="1440" w:top="1440" w:bottom="1440" w:header="720" w:footer="720"/>
        </w:sectPr>
        <w:rPr>
          <w:b/>
          <w:rFonts w:ascii="Times New Roman" w:cs="Times New Roman" w:eastAsia="Times New Roman" w:hAnsi="Times New Roman"/>
          <w:sz w:val="24"/>
          <w:szCs w:val="24"/>
        </w:rPr>
      </w:pPr>
      <w:r w:rsidR="00000000" w:rsidDel="00000000" w:rsidRPr="00000000">
        <w:rPr>
          <w:rtl w:val="0"/>
        </w:rPr>
      </w:r>
    </w:p>
    <w:p w:rsidR="00000000" w:rsidDel="00000000" w:rsidRDefault="00000000" w14:paraId="0000000D" w:rsidP="00000000" w:rsidRPr="00000000">
      <w:pPr>
        <w:rPr>
          <w:rFonts w:ascii="Times New Roman" w:cs="Times New Roman" w:eastAsia="Times New Roman" w:hAnsi="Times New Roman"/>
          <w:sz w:val="24"/>
          <w:szCs w:val="24"/>
        </w:rPr>
      </w:pPr>
      <w:r w:rsidR="00000000" w:rsidDel="00000000" w:rsidRPr="00000000">
        <w:rPr>
          <w:rtl w:val="0"/>
          <w:b/>
          <w:rFonts w:ascii="Times New Roman" w:cs="Times New Roman" w:eastAsia="Times New Roman" w:hAnsi="Times New Roman"/>
          <w:sz w:val="24"/>
          <w:szCs w:val="24"/>
        </w:rPr>
        <w:t xml:space="preserve">Introduction: </w:t>
      </w:r>
      <w:r w:rsidR="00000000" w:rsidDel="00000000" w:rsidRPr="00000000">
        <w:rPr>
          <w:rtl w:val="0"/>
        </w:rPr>
      </w:r>
    </w:p>
    <w:p w:rsidR="00000000" w:rsidDel="00000000" w:rsidRDefault="00000000" w14:paraId="0000000E" w:rsidP="00000000" w:rsidRPr="00000000">
      <w:pPr>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 xml:space="preserve">Alzheimer’s disease is a type of dementia that is characterized by memory loss and cognitive deficit (National Institute on Aging). Deaths due to neurodegenerative diseases have been on the rise in recent years. When considering physiological causes of deaths it was discovered that those who died of Alzheimer’s had abnormal clumps called amyloid plaques in their brain (National Institute of Aging). Further research has found that these amyloid plaques formed due to an excess of free radicals in the brain, also known as oxidative stress (Butterfield and Boyd-Kimball 2018). Oxidative stress occurs when the cells in the body are subjected to an increased amount of superoxides. These superoxides, also known as reactive oxygen species (ROS), originate from normal cellular processes that occasionally leak electrons from transport chains (Cooke et al. 2003). ROS are created in response to injury and are often found at sites of inflammation which is a strong contributor to neurodegenerative diseases (Barnes, Fouquerel, Opresko 2019). Multiple small exposures over a long period of time, or one large exposure has been shown to cause significant damage. Oxidative stress has been linked to degenerative diseases like Alzheimer's and cancer, and plays an important role in the aging process overall (Poetsch 2020). The type of damage found in those who have died of Alzeimer’s disease is presented as glycation end products, nitration, free carbonyls, and many more (Smith et al. 2000). Due to the severity of the damages incurred, oxidative DNA damage and repair has been a large area of study since its discovery, particularly its correlation to Alzheimer’s. </w:t>
      </w:r>
    </w:p>
    <w:p w:rsidR="00000000" w:rsidDel="00000000" w:rsidRDefault="00000000" w14:paraId="0000000F" w:rsidP="00000000" w:rsidRPr="00000000">
      <w:pPr>
        <w:rPr>
          <w:b/>
          <w:rFonts w:ascii="Times New Roman" w:cs="Times New Roman" w:eastAsia="Times New Roman" w:hAnsi="Times New Roman"/>
          <w:sz w:val="24"/>
          <w:szCs w:val="24"/>
        </w:rPr>
      </w:pPr>
      <w:r w:rsidR="00000000" w:rsidDel="00000000" w:rsidRPr="00000000">
        <w:rPr>
          <w:rtl w:val="0"/>
          <w:b/>
          <w:rFonts w:ascii="Times New Roman" w:cs="Times New Roman" w:eastAsia="Times New Roman" w:hAnsi="Times New Roman"/>
          <w:sz w:val="24"/>
          <w:szCs w:val="24"/>
        </w:rPr>
        <w:t>Recent Progress:</w:t>
      </w:r>
    </w:p>
    <w:p w:rsidR="00000000" w:rsidDel="00000000" w:rsidRDefault="00000000" w14:paraId="00000010" w:rsidP="00000000" w:rsidRPr="00000000">
      <w:pPr>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Much of the recent progress on the effects of oxidative DNA has been done in tandem with  studies on how to prevent, or alleviate symptoms of Alzheimer’s disease. One study suggested probiotic supplements as a solution to Alzheimer's disease (Ton et al. 2020). The study proposed that dietary supplements composed of fermented milk and kefir grains could improve cognitive and metabolic functions in patients with Alzheimer's disease. Previous studies confirmed that there seems to be a connection between disturbances in gastrointestinal microbiota and neurodegenerative diseases (Ton et al. 2020). The probiotic supplements would help by relieving inflammation and oxidative stress. There were many mechanisms used to test its effectiveness: participants took cognitive assessments before and after supplementation, blood samples were also taken to analyze cellular components related to Alzheimer's disease. ROS levels were quantified using flow cytometry to measure species like superoxide anion, hydrogen peroxide, peroxynitrite/ hydroxyl radical, and nitric oxide. Other cellular components such as mitochondrial membrane potential, and cell cycle analysis were measured using flow cytometry. After 90 days there seemed to be cognitive improvement in the participating subjects based on how well they did on the cognitive assessments. There are also  improvements in the amount of ROS found in participating subjects. Blood samples after the 90 day period found a decrease in superoxide anion, hydrogen peroxide, peroxynitrite/ hydroxyl radical. However, there was an increase in nitric oxide. A decrease in inflammation and blood cell damage was also noted in their findings (Ton et al. 2020). All of these results lead to the conclusion that a probiotic supplement can alleviate symptoms of Alzheimer’s disease by improving the state of the gut microbiome.</w:t>
      </w:r>
    </w:p>
    <w:p w:rsidR="00000000" w:rsidDel="00000000" w:rsidRDefault="00000000" w14:paraId="00000011" w:rsidP="00000000" w:rsidRPr="00000000">
      <w:pPr>
        <w:rPr>
          <w:b/>
          <w:rFonts w:ascii="Times New Roman" w:cs="Times New Roman" w:eastAsia="Times New Roman" w:hAnsi="Times New Roman"/>
          <w:sz w:val="24"/>
          <w:szCs w:val="24"/>
        </w:rPr>
      </w:pPr>
      <w:r w:rsidR="00000000" w:rsidDel="00000000" w:rsidRPr="00000000">
        <w:rPr>
          <w:rtl w:val="0"/>
          <w:b/>
          <w:rFonts w:ascii="Times New Roman" w:cs="Times New Roman" w:eastAsia="Times New Roman" w:hAnsi="Times New Roman"/>
          <w:sz w:val="24"/>
          <w:szCs w:val="24"/>
        </w:rPr>
        <w:t>Discussion:</w:t>
      </w:r>
    </w:p>
    <w:p w:rsidR="00000000" w:rsidDel="00000000" w:rsidRDefault="00000000" w14:paraId="00000012" w:rsidP="00000000" w:rsidRPr="00000000">
      <w:pPr>
        <w:sectPr>
          <w:pgSz w:w="12240" w:h="15840" w:orient="portrait"/>
          <w:pgMar w:left="1440" w:right="1440" w:top="1440" w:bottom="1440" w:header="720" w:footer="720"/>
          <w:type w:val="continuous"/>
          <w:cols w:num="2" w:equalWidth="0">
            <w:col w:w="4320" w:space="720"/>
            <w:col w:w="4320"/>
          </w:cols>
        </w:sectPr>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 xml:space="preserve">There have been many studies completed to find ways to reverse the effects, or prevent the damage </w:t>
      </w:r>
      <w:r w:rsidR="00000000" w:rsidDel="00000000" w:rsidRPr="00000000">
        <w:rPr>
          <w:rtl w:val="0"/>
          <w:rFonts w:ascii="Times New Roman" w:cs="Times New Roman" w:eastAsia="Times New Roman" w:hAnsi="Times New Roman"/>
          <w:sz w:val="24"/>
          <w:szCs w:val="24"/>
        </w:rPr>
        <w:t>Alzheimer's disease causes</w:t>
      </w:r>
      <w:r w:rsidR="00000000" w:rsidDel="00000000" w:rsidRPr="00000000">
        <w:rPr>
          <w:rtl w:val="0"/>
          <w:rFonts w:ascii="Times New Roman" w:cs="Times New Roman" w:eastAsia="Times New Roman" w:hAnsi="Times New Roman"/>
          <w:sz w:val="24"/>
          <w:szCs w:val="24"/>
        </w:rPr>
        <w:t xml:space="preserve"> in elderly patients. However, there hasn't been much study on how probiotics could improve cognitive and cellular processes in Alzheimer's disease patients. Ton and company's study gave a simple solution to a complex problem. Much of the focus on Alzheimer’s studies have been on the amyloid plaques seen in the brain, and what can be done to prevent them from forming (Smith et al. 2000). While the probiotics only seemed to alleviate symptoms, it provides a new pathway for research. There were a few limitations to the study such as having a very small subject group, and no control group. However, this study in particular shows promising evidence to improve such symptoms, and could serve as a topic of study in future cases despite its limitations. Performing a case study with a larger group, and well defined control/ experimental parameters are the only way to know for certain how significant these results are. </w:t>
      </w:r>
    </w:p>
    <w:p w:rsidR="00000000" w:rsidDel="00000000" w:rsidRDefault="00000000" w14:paraId="00000013" w:rsidP="00000000" w:rsidRPr="00000000">
      <w:pPr>
        <w:rPr>
          <w:b/>
          <w:rFonts w:ascii="Times New Roman" w:cs="Times New Roman" w:eastAsia="Times New Roman" w:hAnsi="Times New Roman"/>
          <w:sz w:val="24"/>
          <w:szCs w:val="24"/>
        </w:rPr>
      </w:pPr>
      <w:r w:rsidR="00000000" w:rsidDel="00000000" w:rsidRPr="00000000">
        <w:rPr>
          <w:rtl w:val="0"/>
        </w:rPr>
      </w:r>
    </w:p>
    <w:p w:rsidR="00000000" w:rsidDel="00000000" w:rsidRDefault="00000000" w14:paraId="00000014" w:rsidP="00000000" w:rsidRPr="00000000">
      <w:pPr>
        <w:rPr>
          <w:b/>
          <w:rFonts w:ascii="Times New Roman" w:cs="Times New Roman" w:eastAsia="Times New Roman" w:hAnsi="Times New Roman"/>
          <w:sz w:val="24"/>
          <w:szCs w:val="24"/>
        </w:rPr>
      </w:pPr>
      <w:r w:rsidR="00000000" w:rsidDel="00000000" w:rsidRPr="00000000">
        <w:rPr>
          <w:rtl w:val="0"/>
        </w:rPr>
      </w:r>
    </w:p>
    <w:p w:rsidR="00000000" w:rsidDel="00000000" w:rsidRDefault="00000000" w14:paraId="00000015" w:rsidP="00000000" w:rsidRPr="00000000">
      <w:pPr>
        <w:rPr>
          <w:b/>
          <w:rFonts w:ascii="Times New Roman" w:cs="Times New Roman" w:eastAsia="Times New Roman" w:hAnsi="Times New Roman"/>
          <w:sz w:val="24"/>
          <w:szCs w:val="24"/>
        </w:rPr>
      </w:pPr>
      <w:r w:rsidR="00000000" w:rsidDel="00000000" w:rsidRPr="00000000">
        <w:rPr>
          <w:rtl w:val="0"/>
        </w:rPr>
      </w:r>
    </w:p>
    <w:p w:rsidR="00000000" w:rsidDel="00000000" w:rsidRDefault="00000000" w14:paraId="00000016" w:rsidP="00000000" w:rsidRPr="00000000">
      <w:pPr>
        <w:rPr>
          <w:b/>
          <w:rFonts w:ascii="Times New Roman" w:cs="Times New Roman" w:eastAsia="Times New Roman" w:hAnsi="Times New Roman"/>
          <w:sz w:val="24"/>
          <w:szCs w:val="24"/>
        </w:rPr>
      </w:pPr>
      <w:r w:rsidR="00000000" w:rsidDel="00000000" w:rsidRPr="00000000">
        <w:rPr>
          <w:rtl w:val="0"/>
          <w:b/>
          <w:rFonts w:ascii="Times New Roman" w:cs="Times New Roman" w:eastAsia="Times New Roman" w:hAnsi="Times New Roman"/>
          <w:sz w:val="24"/>
          <w:szCs w:val="24"/>
        </w:rPr>
        <w:t>References:</w:t>
      </w:r>
    </w:p>
    <w:p w:rsidR="00000000" w:rsidDel="00000000" w:rsidRDefault="00000000" w14:paraId="00000017" w:rsidP="00000000" w:rsidRPr="00000000">
      <w:pPr>
        <w:ind w:left="720"/>
        <w:ind w:hanging="720"/>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Barnes, R. P., Fouqerel, E., Opresko, P. L. (2019), The impact of oxidative DNA damage and stress on telomere homeostasis.</w:t>
      </w:r>
      <w:r w:rsidR="00000000" w:rsidDel="00000000" w:rsidRPr="00000000">
        <w:rPr>
          <w:rtl w:val="0"/>
          <w:i/>
          <w:rFonts w:ascii="Times New Roman" w:cs="Times New Roman" w:eastAsia="Times New Roman" w:hAnsi="Times New Roman"/>
          <w:sz w:val="24"/>
          <w:szCs w:val="24"/>
        </w:rPr>
        <w:t xml:space="preserve"> Mechanisms of Aging and Development</w:t>
      </w:r>
      <w:r w:rsidR="00000000" w:rsidDel="00000000" w:rsidRPr="00000000">
        <w:rPr>
          <w:rtl w:val="0"/>
          <w:rFonts w:ascii="Times New Roman" w:cs="Times New Roman" w:eastAsia="Times New Roman" w:hAnsi="Times New Roman"/>
          <w:sz w:val="24"/>
          <w:szCs w:val="24"/>
        </w:rPr>
        <w:t xml:space="preserve">. 177:37-45. </w:t>
      </w:r>
      <w:r w:rsidR="00000000" w:rsidDel="00000000" w:rsidRPr="00000000">
        <w:rPr>
          <w:rtl w:val="0"/>
          <w:rFonts w:ascii="Times New Roman" w:cs="Times New Roman" w:eastAsia="Times New Roman" w:hAnsi="Times New Roman"/>
          <w:sz w:val="24"/>
          <w:szCs w:val="24"/>
        </w:rPr>
        <w:t>https://doi.org/10.1016/j.mad.2018.03.013</w:t>
      </w:r>
      <w:r w:rsidR="00000000" w:rsidDel="00000000" w:rsidRPr="00000000">
        <w:rPr>
          <w:rtl w:val="0"/>
          <w:rFonts w:ascii="Times New Roman" w:cs="Times New Roman" w:eastAsia="Times New Roman" w:hAnsi="Times New Roman"/>
          <w:sz w:val="24"/>
          <w:szCs w:val="24"/>
        </w:rPr>
        <w:t>.</w:t>
      </w:r>
    </w:p>
    <w:p w:rsidR="00000000" w:rsidDel="00000000" w:rsidRDefault="00000000" w14:paraId="00000018" w:rsidP="00000000" w:rsidRPr="00000000">
      <w:pPr>
        <w:ind w:left="720"/>
        <w:ind w:hanging="720"/>
        <w:rPr>
          <w:rFonts w:ascii="Times New Roman" w:cs="Times New Roman" w:eastAsia="Times New Roman" w:hAnsi="Times New Roman"/>
          <w:sz w:val="28"/>
          <w:szCs w:val="28"/>
        </w:rPr>
      </w:pPr>
      <w:r w:rsidR="00000000" w:rsidDel="00000000" w:rsidRPr="00000000">
        <w:rPr>
          <w:rtl w:val="0"/>
          <w:highlight w:val="white"/>
          <w:rFonts w:ascii="Times New Roman" w:cs="Times New Roman" w:eastAsia="Times New Roman" w:hAnsi="Times New Roman"/>
          <w:sz w:val="24"/>
          <w:szCs w:val="24"/>
        </w:rPr>
        <w:t xml:space="preserve">Butterfield, D. A., &amp; Boyd-Kimball, D. (2018). Oxidative Stress, Amyloid-β Peptide, and Altered Key Molecular Pathways in the Pathogenesis and Progression of Alzheimer's Disease. </w:t>
      </w:r>
      <w:r w:rsidR="00000000" w:rsidDel="00000000" w:rsidRPr="00000000">
        <w:rPr>
          <w:rtl w:val="0"/>
          <w:i/>
          <w:highlight w:val="white"/>
          <w:rFonts w:ascii="Times New Roman" w:cs="Times New Roman" w:eastAsia="Times New Roman" w:hAnsi="Times New Roman"/>
          <w:sz w:val="24"/>
          <w:szCs w:val="24"/>
        </w:rPr>
        <w:t>Journal of Alzheimer's disease : JAD</w:t>
      </w:r>
      <w:r w:rsidR="00000000" w:rsidDel="00000000" w:rsidRPr="00000000">
        <w:rPr>
          <w:rtl w:val="0"/>
          <w:highlight w:val="white"/>
          <w:rFonts w:ascii="Times New Roman" w:cs="Times New Roman" w:eastAsia="Times New Roman" w:hAnsi="Times New Roman"/>
          <w:sz w:val="24"/>
          <w:szCs w:val="24"/>
        </w:rPr>
        <w:t xml:space="preserve">, </w:t>
      </w:r>
      <w:r w:rsidR="00000000" w:rsidDel="00000000" w:rsidRPr="00000000">
        <w:rPr>
          <w:rtl w:val="0"/>
          <w:i/>
          <w:highlight w:val="white"/>
          <w:rFonts w:ascii="Times New Roman" w:cs="Times New Roman" w:eastAsia="Times New Roman" w:hAnsi="Times New Roman"/>
          <w:sz w:val="24"/>
          <w:szCs w:val="24"/>
        </w:rPr>
        <w:t>62</w:t>
      </w:r>
      <w:r w:rsidR="00000000" w:rsidDel="00000000" w:rsidRPr="00000000">
        <w:rPr>
          <w:rtl w:val="0"/>
          <w:highlight w:val="white"/>
          <w:rFonts w:ascii="Times New Roman" w:cs="Times New Roman" w:eastAsia="Times New Roman" w:hAnsi="Times New Roman"/>
          <w:sz w:val="24"/>
          <w:szCs w:val="24"/>
        </w:rPr>
        <w:t>(3), 1345–1367. https://doi.org/10.3233/JAD-170543</w:t>
      </w:r>
      <w:r w:rsidR="00000000" w:rsidDel="00000000" w:rsidRPr="00000000">
        <w:rPr>
          <w:rtl w:val="0"/>
        </w:rPr>
      </w:r>
    </w:p>
    <w:p w:rsidR="00000000" w:rsidDel="00000000" w:rsidRDefault="00000000" w14:paraId="00000019" w:rsidP="00000000" w:rsidRPr="00000000">
      <w:pPr>
        <w:ind w:left="720"/>
        <w:ind w:hanging="720"/>
        <w:rPr>
          <w:rFonts w:ascii="Times New Roman" w:cs="Times New Roman" w:eastAsia="Times New Roman" w:hAnsi="Times New Roman"/>
          <w:sz w:val="24"/>
          <w:szCs w:val="24"/>
        </w:rPr>
      </w:pPr>
      <w:r w:rsidR="00000000" w:rsidDel="00000000" w:rsidRPr="00000000">
        <w:rPr>
          <w:rtl w:val="0"/>
          <w:highlight w:val="white"/>
          <w:rFonts w:ascii="Times New Roman" w:cs="Times New Roman" w:eastAsia="Times New Roman" w:hAnsi="Times New Roman"/>
          <w:sz w:val="24"/>
          <w:szCs w:val="24"/>
        </w:rPr>
        <w:t xml:space="preserve">Cooke, M.S., Evans, M.D., Dizdaroglu, M. and Lunec, J. (2003), Oxidative DNA damage: mechanisms, mutation, and disease. </w:t>
      </w:r>
      <w:r w:rsidR="00000000" w:rsidDel="00000000" w:rsidRPr="00000000">
        <w:rPr>
          <w:rtl w:val="0"/>
          <w:i/>
          <w:highlight w:val="white"/>
          <w:rFonts w:ascii="Times New Roman" w:cs="Times New Roman" w:eastAsia="Times New Roman" w:hAnsi="Times New Roman"/>
          <w:sz w:val="24"/>
          <w:szCs w:val="24"/>
        </w:rPr>
        <w:t>The FASEB Journal</w:t>
      </w:r>
      <w:r w:rsidR="00000000" w:rsidDel="00000000" w:rsidRPr="00000000">
        <w:rPr>
          <w:rtl w:val="0"/>
          <w:highlight w:val="white"/>
          <w:rFonts w:ascii="Times New Roman" w:cs="Times New Roman" w:eastAsia="Times New Roman" w:hAnsi="Times New Roman"/>
          <w:sz w:val="24"/>
          <w:szCs w:val="24"/>
        </w:rPr>
        <w:t xml:space="preserve">, 17: 1195-1214. </w:t>
      </w:r>
      <w:r w:rsidR="00000000" w:rsidDel="00000000" w:rsidRPr="00000000">
        <w:rPr>
          <w:rtl w:val="0"/>
          <w:highlight w:val="white"/>
          <w:rFonts w:ascii="Times New Roman" w:cs="Times New Roman" w:eastAsia="Times New Roman" w:hAnsi="Times New Roman"/>
          <w:sz w:val="24"/>
          <w:szCs w:val="24"/>
        </w:rPr>
        <w:t>https://doi.org/10.1096/fj.02-0752rev.</w:t>
      </w:r>
      <w:r w:rsidR="00000000" w:rsidDel="00000000" w:rsidRPr="00000000">
        <w:rPr>
          <w:rtl w:val="0"/>
        </w:rPr>
      </w:r>
    </w:p>
    <w:p w:rsidR="00000000" w:rsidDel="00000000" w:rsidRDefault="00000000" w14:paraId="0000001A" w:rsidP="00000000" w:rsidRPr="00000000">
      <w:pPr>
        <w:ind w:left="720"/>
        <w:ind w:hanging="720"/>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 xml:space="preserve">Poetsch, A. R. (2020), The genomic of oxidative DNA damage, repair, and mutagenesis. </w:t>
      </w:r>
      <w:r w:rsidR="00000000" w:rsidDel="00000000" w:rsidRPr="00000000">
        <w:rPr>
          <w:rtl w:val="0"/>
          <w:i/>
          <w:rFonts w:ascii="Times New Roman" w:cs="Times New Roman" w:eastAsia="Times New Roman" w:hAnsi="Times New Roman"/>
          <w:sz w:val="24"/>
          <w:szCs w:val="24"/>
        </w:rPr>
        <w:t>Computational and Structural Biotechnology Journal</w:t>
      </w:r>
      <w:r w:rsidR="00000000" w:rsidDel="00000000" w:rsidRPr="00000000">
        <w:rPr>
          <w:rtl w:val="0"/>
          <w:rFonts w:ascii="Times New Roman" w:cs="Times New Roman" w:eastAsia="Times New Roman" w:hAnsi="Times New Roman"/>
          <w:sz w:val="24"/>
          <w:szCs w:val="24"/>
        </w:rPr>
        <w:t xml:space="preserve">, 18: 207-219. </w:t>
      </w:r>
      <w:r w:rsidR="00000000" w:rsidDel="00000000" w:rsidRPr="00000000">
        <w:rPr>
          <w:rtl w:val="0"/>
          <w:rFonts w:ascii="Times New Roman" w:cs="Times New Roman" w:eastAsia="Times New Roman" w:hAnsi="Times New Roman"/>
          <w:sz w:val="24"/>
          <w:szCs w:val="24"/>
        </w:rPr>
        <w:t xml:space="preserve">https://doi.org/10.1016/j.csbj.2019.12.013. </w:t>
      </w:r>
    </w:p>
    <w:p w:rsidR="00000000" w:rsidDel="00000000" w:rsidRDefault="00000000" w14:paraId="0000001B" w:rsidP="00000000" w:rsidRPr="00000000">
      <w:pPr>
        <w:ind w:left="720"/>
        <w:ind w:hanging="720"/>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 xml:space="preserve">Smith, M. A., Rottkamp, C. A., Nunomura, A., Raina, A. K., Perry, G. (2000), Oxidative stress in Alzheimer’s disease, Biochimica et Biophysica Acta, 1502:139-144, </w:t>
      </w:r>
      <w:r w:rsidR="00000000" w:rsidDel="00000000" w:rsidRPr="00000000">
        <w:rPr>
          <w:rtl w:val="0"/>
          <w:rFonts w:ascii="Times New Roman" w:cs="Times New Roman" w:eastAsia="Times New Roman" w:hAnsi="Times New Roman"/>
          <w:sz w:val="24"/>
          <w:szCs w:val="24"/>
        </w:rPr>
        <w:t>https://doi.org/10.1016/S0925-4439(00)00040-5.</w:t>
      </w:r>
      <w:r w:rsidR="00000000" w:rsidDel="00000000" w:rsidRPr="00000000">
        <w:rPr>
          <w:rtl w:val="0"/>
          <w:rFonts w:ascii="Times New Roman" w:cs="Times New Roman" w:eastAsia="Times New Roman" w:hAnsi="Times New Roman"/>
          <w:sz w:val="24"/>
          <w:szCs w:val="24"/>
        </w:rPr>
        <w:t xml:space="preserve"> </w:t>
      </w:r>
    </w:p>
    <w:p w:rsidR="00000000" w:rsidDel="00000000" w:rsidRDefault="00000000" w14:paraId="0000001C" w:rsidP="00000000" w:rsidRPr="00000000">
      <w:pPr>
        <w:ind w:left="720"/>
        <w:ind w:hanging="720"/>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 xml:space="preserve">“What is Alzheimer’s Disease?” 2021, National Institute of Aging. </w:t>
      </w:r>
      <w:r w:rsidR="00000000" w:rsidDel="00000000" w:rsidRPr="00000000">
        <w:rPr>
          <w:rtl w:val="0"/>
          <w:rFonts w:ascii="Times New Roman" w:cs="Times New Roman" w:eastAsia="Times New Roman" w:hAnsi="Times New Roman"/>
          <w:sz w:val="24"/>
          <w:szCs w:val="24"/>
        </w:rPr>
        <w:t>https://www.nia.nih.gov/health/what-alzheimers-disease</w:t>
      </w:r>
      <w:r w:rsidR="00000000" w:rsidDel="00000000" w:rsidRPr="00000000">
        <w:rPr>
          <w:rtl w:val="0"/>
          <w:rFonts w:ascii="Times New Roman" w:cs="Times New Roman" w:eastAsia="Times New Roman" w:hAnsi="Times New Roman"/>
          <w:sz w:val="24"/>
          <w:szCs w:val="24"/>
        </w:rPr>
        <w:t xml:space="preserve"> </w:t>
      </w:r>
    </w:p>
    <w:p w:rsidR="00000000" w:rsidDel="00000000" w:rsidRDefault="00000000" w14:paraId="0000001D" w:rsidP="00000000" w:rsidRPr="00000000">
      <w:pPr>
        <w:ind w:left="720"/>
        <w:ind w:hanging="720"/>
        <w:rPr>
          <w:b/>
          <w:rFonts w:ascii="Times New Roman" w:cs="Times New Roman" w:eastAsia="Times New Roman" w:hAnsi="Times New Roman"/>
          <w:sz w:val="24"/>
          <w:szCs w:val="24"/>
        </w:rPr>
      </w:pPr>
      <w:r w:rsidR="00000000" w:rsidDel="00000000" w:rsidRPr="00000000">
        <w:rPr>
          <w:rtl w:val="0"/>
          <w:b/>
          <w:rFonts w:ascii="Times New Roman" w:cs="Times New Roman" w:eastAsia="Times New Roman" w:hAnsi="Times New Roman"/>
          <w:sz w:val="24"/>
          <w:szCs w:val="24"/>
        </w:rPr>
        <w:t>Primary Reference</w:t>
      </w:r>
      <w:r w:rsidR="00000000" w:rsidDel="00000000" w:rsidRPr="00000000">
        <w:rPr>
          <w:rtl w:val="0"/>
        </w:rPr>
      </w:r>
    </w:p>
    <w:p w:rsidR="00000000" w:rsidDel="00000000" w:rsidRDefault="00000000" w14:paraId="0000001E" w:rsidP="00000000" w:rsidRPr="00000000">
      <w:pPr>
        <w:ind w:left="720"/>
        <w:ind w:hanging="720"/>
        <w:rPr>
          <w:rFonts w:ascii="Times New Roman" w:cs="Times New Roman" w:eastAsia="Times New Roman" w:hAnsi="Times New Roman"/>
          <w:sz w:val="24"/>
          <w:szCs w:val="24"/>
        </w:rPr>
      </w:pPr>
      <w:r w:rsidR="00000000" w:rsidDel="00000000" w:rsidRPr="00000000">
        <w:rPr>
          <w:rtl w:val="0"/>
          <w:rFonts w:ascii="Times New Roman" w:cs="Times New Roman" w:eastAsia="Times New Roman" w:hAnsi="Times New Roman"/>
          <w:sz w:val="24"/>
          <w:szCs w:val="24"/>
        </w:rPr>
        <w:t xml:space="preserve">Ton, A. M. M., Campagnaro, B. P., Alves, G. A., Aires, R., Côco, L. Z., Arpini C. M., Oliveira, T. G., Campos-Toimil, M., Meyrelles, S. S., Pereira, T. M. C., Vasquez, E. C. (2020), Oxidative Stress and Dementia in Alzheimer’s Patients: Effects of Synbiotic Supplementation, </w:t>
      </w:r>
      <w:r w:rsidR="00000000" w:rsidDel="00000000" w:rsidRPr="00000000">
        <w:rPr>
          <w:rtl w:val="0"/>
          <w:i/>
          <w:rFonts w:ascii="Times New Roman" w:cs="Times New Roman" w:eastAsia="Times New Roman" w:hAnsi="Times New Roman"/>
          <w:sz w:val="24"/>
          <w:szCs w:val="24"/>
        </w:rPr>
        <w:t>Oxidative Medicine and Cellular Longevity</w:t>
      </w:r>
      <w:r w:rsidR="00000000" w:rsidDel="00000000" w:rsidRPr="00000000">
        <w:rPr>
          <w:rtl w:val="0"/>
          <w:rFonts w:ascii="Times New Roman" w:cs="Times New Roman" w:eastAsia="Times New Roman" w:hAnsi="Times New Roman"/>
          <w:sz w:val="24"/>
          <w:szCs w:val="24"/>
        </w:rPr>
        <w:t xml:space="preserve">, vol. 2020, Article ID 2638703, 14 pages. </w:t>
      </w:r>
      <w:r w:rsidR="00000000" w:rsidDel="00000000" w:rsidRPr="00000000">
        <w:rPr>
          <w:rtl w:val="0"/>
          <w:rFonts w:ascii="Times New Roman" w:cs="Times New Roman" w:eastAsia="Times New Roman" w:hAnsi="Times New Roman"/>
          <w:sz w:val="24"/>
          <w:szCs w:val="24"/>
        </w:rPr>
        <w:t>https://doi.org/10.1155/2020/2638703.</w:t>
      </w:r>
      <w:r w:rsidR="00000000" w:rsidDel="00000000" w:rsidRPr="00000000">
        <w:rPr>
          <w:rtl w:val="0"/>
          <w:rFonts w:ascii="Times New Roman" w:cs="Times New Roman" w:eastAsia="Times New Roman" w:hAnsi="Times New Roman"/>
          <w:sz w:val="24"/>
          <w:szCs w:val="24"/>
        </w:rPr>
        <w:t xml:space="preserve"> </w:t>
      </w:r>
      <w:r w:rsidR="00000000" w:rsidDel="00000000" w:rsidRPr="00000000">
        <w:rPr>
          <w:rtl w:val="0"/>
        </w:rPr>
      </w:r>
    </w:p>
    <w:p w:rsidR="00000000" w:rsidDel="00000000" w:rsidRDefault="00000000" w14:paraId="0000001F" w:rsidP="00000000" w:rsidRPr="00000000">
      <w:pPr>
        <w:rPr>
          <w:b/>
          <w:rFonts w:ascii="Times New Roman" w:cs="Times New Roman" w:eastAsia="Times New Roman" w:hAnsi="Times New Roman"/>
          <w:sz w:val="24"/>
          <w:szCs w:val="24"/>
        </w:rPr>
      </w:pPr>
      <w:r w:rsidR="00000000" w:rsidDel="00000000" w:rsidRPr="00000000">
        <w:rPr>
          <w:rtl w:val="0"/>
        </w:rPr>
      </w:r>
    </w:p>
    <w:sectPr>
      <w:pgSz w:w="12240" w:h="15840" w:orient="portrait"/>
      <w:pgMar w:left="1440" w:right="1440" w:top="1440" w:bottom="1440" w:header="720" w:footer="720"/>
      <w:type w:val="continuous"/>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Arial"/>
  <w:font w:name="Times New Roman"/>
  <w:font w:name="Calibri"/>
  <w:font w:name="Cambria"/>
  <w:font w:name="Symbol"/>
  <w:font w:name="Courier New"/>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