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6F39E" w14:textId="77777777" w:rsidR="00CE2DB5" w:rsidRDefault="007038A1" w:rsidP="00CE2DB5">
      <w:pPr>
        <w:rPr>
          <w:rFonts w:ascii="Times New Roman" w:hAnsi="Times New Roman" w:cs="Times New Roman"/>
          <w:sz w:val="24"/>
          <w:szCs w:val="24"/>
        </w:rPr>
      </w:pPr>
      <w:r>
        <w:rPr>
          <w:noProof/>
        </w:rPr>
        <mc:AlternateContent>
          <mc:Choice Requires="wps">
            <w:drawing>
              <wp:anchor distT="91440" distB="91440" distL="114300" distR="114300" simplePos="0" relativeHeight="251659264" behindDoc="0" locked="0" layoutInCell="1" allowOverlap="1" wp14:anchorId="2C46926D" wp14:editId="570366E5">
                <wp:simplePos x="0" y="0"/>
                <wp:positionH relativeFrom="margin">
                  <wp:align>center</wp:align>
                </wp:positionH>
                <wp:positionV relativeFrom="paragraph">
                  <wp:posOffset>0</wp:posOffset>
                </wp:positionV>
                <wp:extent cx="347472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noFill/>
                        <a:ln w="9525">
                          <a:noFill/>
                          <a:miter lim="800000"/>
                          <a:headEnd/>
                          <a:tailEnd/>
                        </a:ln>
                      </wps:spPr>
                      <wps:txbx>
                        <w:txbxContent>
                          <w:p w14:paraId="1A83C11E" w14:textId="1BDCBBF9" w:rsidR="007038A1" w:rsidRPr="007038A1" w:rsidRDefault="007038A1" w:rsidP="007038A1">
                            <w:pPr>
                              <w:jc w:val="center"/>
                              <w:rPr>
                                <w:rFonts w:ascii="Times New Roman" w:hAnsi="Times New Roman" w:cs="Times New Roman"/>
                                <w:sz w:val="44"/>
                                <w:szCs w:val="44"/>
                              </w:rPr>
                            </w:pPr>
                            <w:r w:rsidRPr="007038A1">
                              <w:rPr>
                                <w:rFonts w:ascii="Times New Roman" w:hAnsi="Times New Roman" w:cs="Times New Roman"/>
                                <w:sz w:val="48"/>
                                <w:szCs w:val="48"/>
                              </w:rPr>
                              <w:t>The Resilient Scholar: Collegiate Coping</w:t>
                            </w:r>
                          </w:p>
                        </w:txbxContent>
                      </wps:txbx>
                      <wps:bodyPr rot="0" vert="horz" wrap="square" lIns="91440" tIns="45720" rIns="91440" bIns="45720" anchor="t" anchorCtr="0">
                        <a:spAutoFit/>
                      </wps:bodyPr>
                    </wps:wsp>
                  </a:graphicData>
                </a:graphic>
                <wp14:sizeRelH relativeFrom="margin">
                  <wp14:pctWidth>58500</wp14:pctWidth>
                </wp14:sizeRelH>
                <wp14:sizeRelV relativeFrom="margin">
                  <wp14:pctHeight>20000</wp14:pctHeight>
                </wp14:sizeRelV>
              </wp:anchor>
            </w:drawing>
          </mc:Choice>
          <mc:Fallback>
            <w:pict>
              <v:shapetype w14:anchorId="2C46926D" id="_x0000_t202" coordsize="21600,21600" o:spt="202" path="m,l,21600r21600,l21600,xe">
                <v:stroke joinstyle="miter"/>
                <v:path gradientshapeok="t" o:connecttype="rect"/>
              </v:shapetype>
              <v:shape id="Text Box 2" o:spid="_x0000_s1026" type="#_x0000_t202" style="position:absolute;margin-left:0;margin-top:0;width:273.6pt;height:110.55pt;z-index:251659264;visibility:visible;mso-wrap-style:square;mso-width-percent:585;mso-height-percent:200;mso-wrap-distance-left:9pt;mso-wrap-distance-top:7.2pt;mso-wrap-distance-right:9pt;mso-wrap-distance-bottom:7.2pt;mso-position-horizontal:center;mso-position-horizontal-relative:margin;mso-position-vertical:absolute;mso-position-vertical-relative:text;mso-width-percent:585;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" filled="f" stroked="f">
                <v:textbox style="mso-fit-shape-to-text:t">
                  <w:txbxContent>
                    <w:p w14:paraId="1A83C11E" w14:textId="1BDCBBF9" w:rsidR="007038A1" w:rsidRPr="007038A1" w:rsidRDefault="007038A1" w:rsidP="007038A1">
                      <w:pPr>
                        <w:jc w:val="center"/>
                        <w:rPr>
                          <w:rFonts w:ascii="Times New Roman" w:hAnsi="Times New Roman" w:cs="Times New Roman"/>
                          <w:sz w:val="44"/>
                          <w:szCs w:val="44"/>
                        </w:rPr>
                      </w:pPr>
                      <w:r w:rsidRPr="007038A1">
                        <w:rPr>
                          <w:rFonts w:ascii="Times New Roman" w:hAnsi="Times New Roman" w:cs="Times New Roman"/>
                          <w:sz w:val="48"/>
                          <w:szCs w:val="48"/>
                        </w:rPr>
                        <w:t>The Resilient Scholar: Collegiate Coping</w:t>
                      </w:r>
                    </w:p>
                  </w:txbxContent>
                </v:textbox>
                <w10:wrap type="topAndBottom" anchorx="margin"/>
              </v:shape>
            </w:pict>
          </mc:Fallback>
        </mc:AlternateContent>
      </w:r>
      <w:r>
        <w:rPr>
          <w:rFonts w:ascii="Times New Roman" w:hAnsi="Times New Roman" w:cs="Times New Roman"/>
          <w:sz w:val="24"/>
          <w:szCs w:val="24"/>
        </w:rPr>
        <w:tab/>
      </w:r>
      <w:r w:rsidR="00240A7A">
        <w:rPr>
          <w:rFonts w:ascii="Times New Roman" w:hAnsi="Times New Roman" w:cs="Times New Roman"/>
          <w:sz w:val="24"/>
          <w:szCs w:val="24"/>
        </w:rPr>
        <w:t xml:space="preserve">In the hallowed halls of academia, where the pursuit of knowledge meets the trials of time management, college students find themselves juggling textbooks and exams with the grace of a circus performer. Though many enjoy the college experience it is by no means an easy feat to get through it. Most students find that the most important asset at your disposal is not a book or a study guide. It is the ability to cope with the stress of university life and everything that comes along with it. </w:t>
      </w:r>
      <w:r w:rsidR="00943B3F">
        <w:rPr>
          <w:rFonts w:ascii="Times New Roman" w:hAnsi="Times New Roman" w:cs="Times New Roman"/>
          <w:sz w:val="24"/>
          <w:szCs w:val="24"/>
        </w:rPr>
        <w:t>To obtain a better understanding of the relationship between coping and the mental health of college students I reached out to Dr. Sheila Kennison of Oklahoma State University regarding her article “Humor and resilience: relationships with happiness in young adults” to ask her a few questions about her findings.</w:t>
      </w:r>
    </w:p>
    <w:p w14:paraId="300E9E41" w14:textId="77777777" w:rsidR="00943B3F" w:rsidRDefault="00943B3F" w:rsidP="00CE2DB5">
      <w:pPr>
        <w:rPr>
          <w:rFonts w:ascii="Times New Roman" w:hAnsi="Times New Roman" w:cs="Times New Roman"/>
          <w:sz w:val="24"/>
          <w:szCs w:val="24"/>
        </w:rPr>
      </w:pPr>
    </w:p>
    <w:p w14:paraId="1356DBD7" w14:textId="77777777" w:rsidR="00943B3F" w:rsidRDefault="00943B3F" w:rsidP="00CE2DB5">
      <w:pPr>
        <w:rPr>
          <w:rFonts w:ascii="Times New Roman" w:hAnsi="Times New Roman" w:cs="Times New Roman"/>
          <w:sz w:val="24"/>
          <w:szCs w:val="24"/>
        </w:rPr>
      </w:pPr>
      <w:r>
        <w:rPr>
          <w:rFonts w:ascii="Times New Roman" w:hAnsi="Times New Roman" w:cs="Times New Roman"/>
          <w:sz w:val="24"/>
          <w:szCs w:val="24"/>
        </w:rPr>
        <w:tab/>
        <w:t xml:space="preserve">When asked what unhealthy coping strategies she saw most often in young adults, Dr Kennison responded that her research found that “self-defeating or self-deprecating humor is particularly related to adverse outcomes.” </w:t>
      </w:r>
      <w:r w:rsidR="006D4C14">
        <w:rPr>
          <w:rFonts w:ascii="Times New Roman" w:hAnsi="Times New Roman" w:cs="Times New Roman"/>
          <w:sz w:val="24"/>
          <w:szCs w:val="24"/>
        </w:rPr>
        <w:t xml:space="preserve">(Kennison) She advised that seeking out support by way of talking to friends, or fellow students, was likely to be a much more effective strategy than negative humor and that “Social support is the number one predicator of resilience.” (Kennison) Unfortunately college students are not known for always taking </w:t>
      </w:r>
      <w:r w:rsidR="00C058A8">
        <w:rPr>
          <w:rFonts w:ascii="Times New Roman" w:hAnsi="Times New Roman" w:cs="Times New Roman"/>
          <w:sz w:val="24"/>
          <w:szCs w:val="24"/>
        </w:rPr>
        <w:t xml:space="preserve">advice, even when it is genuine and meant to be helpful. When asked if she believed young adult students could be encouraged to adopt healthier coping mechanisms, Kennison stated that she does believe they can, but that most times they need to hear the same advice from multiple sources before being willing to take it seriously. She went on to recommend that in order to better help students struggling with mental health, college mental health providers should follow up with </w:t>
      </w:r>
      <w:r w:rsidR="002B08FA">
        <w:rPr>
          <w:rFonts w:ascii="Times New Roman" w:hAnsi="Times New Roman" w:cs="Times New Roman"/>
          <w:sz w:val="24"/>
          <w:szCs w:val="24"/>
        </w:rPr>
        <w:t>a student when they observe behaviors related to these struggles and ensure that they receive the support and help that they need.</w:t>
      </w:r>
    </w:p>
    <w:p w14:paraId="593777CD" w14:textId="77777777" w:rsidR="002B08FA" w:rsidRDefault="002B08FA" w:rsidP="00CE2DB5">
      <w:pPr>
        <w:rPr>
          <w:rFonts w:ascii="Times New Roman" w:hAnsi="Times New Roman" w:cs="Times New Roman"/>
          <w:sz w:val="24"/>
          <w:szCs w:val="24"/>
        </w:rPr>
      </w:pPr>
    </w:p>
    <w:p w14:paraId="4B8971C1" w14:textId="77777777" w:rsidR="002B08FA" w:rsidRDefault="002B08FA" w:rsidP="00CE2DB5">
      <w:pPr>
        <w:rPr>
          <w:rFonts w:ascii="Times New Roman" w:hAnsi="Times New Roman" w:cs="Times New Roman"/>
          <w:sz w:val="24"/>
          <w:szCs w:val="24"/>
        </w:rPr>
      </w:pPr>
      <w:r>
        <w:rPr>
          <w:rFonts w:ascii="Times New Roman" w:hAnsi="Times New Roman" w:cs="Times New Roman"/>
          <w:sz w:val="24"/>
          <w:szCs w:val="24"/>
        </w:rPr>
        <w:tab/>
        <w:t>In essence, the journey through college is not merely the accumulation of knowledge via books and lectures, but rather the ability to maintain composure and resilience in the face of stress and adversity.</w:t>
      </w:r>
      <w:r w:rsidR="002568FC">
        <w:rPr>
          <w:rFonts w:ascii="Times New Roman" w:hAnsi="Times New Roman" w:cs="Times New Roman"/>
          <w:sz w:val="24"/>
          <w:szCs w:val="24"/>
        </w:rPr>
        <w:t xml:space="preserve"> But they can’t do it alone. With the help of outside support such as other students, friends, family, and their teachers, students can surely complete their studies while maintaining mental equilibrium.</w:t>
      </w:r>
    </w:p>
    <w:p w14:paraId="1014F01F" w14:textId="77777777" w:rsidR="002568FC" w:rsidRDefault="002568FC" w:rsidP="00CE2DB5">
      <w:pPr>
        <w:rPr>
          <w:rFonts w:ascii="Times New Roman" w:hAnsi="Times New Roman" w:cs="Times New Roman"/>
          <w:sz w:val="24"/>
          <w:szCs w:val="24"/>
        </w:rPr>
      </w:pPr>
    </w:p>
    <w:p w14:paraId="1A4BD33B" w14:textId="4C53A132" w:rsidR="002568FC" w:rsidRPr="007038A1" w:rsidRDefault="002568FC" w:rsidP="00CE2DB5">
      <w:pPr>
        <w:rPr>
          <w:rFonts w:ascii="Times New Roman" w:hAnsi="Times New Roman" w:cs="Times New Roman"/>
          <w:sz w:val="24"/>
          <w:szCs w:val="24"/>
        </w:rPr>
        <w:sectPr w:rsidR="002568FC" w:rsidRPr="007038A1" w:rsidSect="007038A1">
          <w:type w:val="continuous"/>
          <w:pgSz w:w="12240" w:h="15840"/>
          <w:pgMar w:top="1440" w:right="1440" w:bottom="1440" w:left="1440" w:header="720" w:footer="720" w:gutter="0"/>
          <w:cols w:num="2" w:space="720"/>
          <w:docGrid w:linePitch="360"/>
        </w:sectPr>
      </w:pPr>
    </w:p>
    <w:p w14:paraId="2824793D" w14:textId="3150A277" w:rsidR="00CE2DB5" w:rsidRDefault="002568FC" w:rsidP="002568FC">
      <w:pPr>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14:paraId="0324C00E" w14:textId="77777777" w:rsidR="002568FC" w:rsidRPr="002568FC" w:rsidRDefault="002568FC" w:rsidP="002568FC">
      <w:pPr>
        <w:ind w:left="720" w:hanging="720"/>
        <w:rPr>
          <w:rFonts w:ascii="Times New Roman" w:hAnsi="Times New Roman" w:cs="Times New Roman"/>
          <w:sz w:val="24"/>
          <w:szCs w:val="24"/>
        </w:rPr>
      </w:pPr>
      <w:r w:rsidRPr="002568FC">
        <w:rPr>
          <w:rFonts w:ascii="Times New Roman" w:hAnsi="Times New Roman" w:cs="Times New Roman"/>
          <w:sz w:val="24"/>
          <w:szCs w:val="24"/>
        </w:rPr>
        <w:t xml:space="preserve">Kennison, Shelia M. “Humor and Resilience: Relationships With Happiness in Young Adults.” </w:t>
      </w:r>
      <w:r w:rsidRPr="002568FC">
        <w:rPr>
          <w:rFonts w:ascii="Times New Roman" w:hAnsi="Times New Roman" w:cs="Times New Roman"/>
          <w:i/>
          <w:iCs/>
          <w:sz w:val="24"/>
          <w:szCs w:val="24"/>
        </w:rPr>
        <w:t>Humor</w:t>
      </w:r>
      <w:r w:rsidRPr="002568FC">
        <w:rPr>
          <w:rFonts w:ascii="Times New Roman" w:hAnsi="Times New Roman" w:cs="Times New Roman"/>
          <w:sz w:val="24"/>
          <w:szCs w:val="24"/>
        </w:rPr>
        <w:t>, vol. 35, no. 4, Sept. 2022, pp. 665–81. https://doi.org/10.1515/humor-2021-0079.</w:t>
      </w:r>
    </w:p>
    <w:p w14:paraId="2132280D" w14:textId="77777777" w:rsidR="002568FC" w:rsidRPr="002568FC" w:rsidRDefault="002568FC" w:rsidP="002568FC">
      <w:pPr>
        <w:rPr>
          <w:rFonts w:ascii="Times New Roman" w:hAnsi="Times New Roman" w:cs="Times New Roman"/>
          <w:sz w:val="24"/>
          <w:szCs w:val="24"/>
        </w:rPr>
      </w:pPr>
    </w:p>
    <w:sectPr w:rsidR="002568FC" w:rsidRPr="002568FC" w:rsidSect="002568FC">
      <w:type w:val="nextColumn"/>
      <w:pgSz w:w="12240" w:h="15840"/>
      <w:pgMar w:top="1440" w:right="1440" w:bottom="1440" w:left="144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DB5"/>
    <w:rsid w:val="00240A7A"/>
    <w:rsid w:val="002568FC"/>
    <w:rsid w:val="002B08FA"/>
    <w:rsid w:val="0044448D"/>
    <w:rsid w:val="00571FC2"/>
    <w:rsid w:val="006D4C14"/>
    <w:rsid w:val="007038A1"/>
    <w:rsid w:val="00943B3F"/>
    <w:rsid w:val="00C058A8"/>
    <w:rsid w:val="00C85246"/>
    <w:rsid w:val="00CE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EA4FB"/>
  <w15:chartTrackingRefBased/>
  <w15:docId w15:val="{2C63EDD4-E506-448B-8664-81E35625C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D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D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D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D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D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D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D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D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D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D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D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D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D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D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D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DB5"/>
    <w:rPr>
      <w:rFonts w:eastAsiaTheme="majorEastAsia" w:cstheme="majorBidi"/>
      <w:color w:val="272727" w:themeColor="text1" w:themeTint="D8"/>
    </w:rPr>
  </w:style>
  <w:style w:type="paragraph" w:styleId="Title">
    <w:name w:val="Title"/>
    <w:basedOn w:val="Normal"/>
    <w:next w:val="Normal"/>
    <w:link w:val="TitleChar"/>
    <w:uiPriority w:val="10"/>
    <w:qFormat/>
    <w:rsid w:val="00CE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D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D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D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DB5"/>
    <w:pPr>
      <w:spacing w:before="160"/>
      <w:jc w:val="center"/>
    </w:pPr>
    <w:rPr>
      <w:i/>
      <w:iCs/>
      <w:color w:val="404040" w:themeColor="text1" w:themeTint="BF"/>
    </w:rPr>
  </w:style>
  <w:style w:type="character" w:customStyle="1" w:styleId="QuoteChar">
    <w:name w:val="Quote Char"/>
    <w:basedOn w:val="DefaultParagraphFont"/>
    <w:link w:val="Quote"/>
    <w:uiPriority w:val="29"/>
    <w:rsid w:val="00CE2DB5"/>
    <w:rPr>
      <w:i/>
      <w:iCs/>
      <w:color w:val="404040" w:themeColor="text1" w:themeTint="BF"/>
    </w:rPr>
  </w:style>
  <w:style w:type="paragraph" w:styleId="ListParagraph">
    <w:name w:val="List Paragraph"/>
    <w:basedOn w:val="Normal"/>
    <w:uiPriority w:val="34"/>
    <w:qFormat/>
    <w:rsid w:val="00CE2DB5"/>
    <w:pPr>
      <w:ind w:left="720"/>
      <w:contextualSpacing/>
    </w:pPr>
  </w:style>
  <w:style w:type="character" w:styleId="IntenseEmphasis">
    <w:name w:val="Intense Emphasis"/>
    <w:basedOn w:val="DefaultParagraphFont"/>
    <w:uiPriority w:val="21"/>
    <w:qFormat/>
    <w:rsid w:val="00CE2DB5"/>
    <w:rPr>
      <w:i/>
      <w:iCs/>
      <w:color w:val="0F4761" w:themeColor="accent1" w:themeShade="BF"/>
    </w:rPr>
  </w:style>
  <w:style w:type="paragraph" w:styleId="IntenseQuote">
    <w:name w:val="Intense Quote"/>
    <w:basedOn w:val="Normal"/>
    <w:next w:val="Normal"/>
    <w:link w:val="IntenseQuoteChar"/>
    <w:uiPriority w:val="30"/>
    <w:qFormat/>
    <w:rsid w:val="00CE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DB5"/>
    <w:rPr>
      <w:i/>
      <w:iCs/>
      <w:color w:val="0F4761" w:themeColor="accent1" w:themeShade="BF"/>
    </w:rPr>
  </w:style>
  <w:style w:type="character" w:styleId="IntenseReference">
    <w:name w:val="Intense Reference"/>
    <w:basedOn w:val="DefaultParagraphFont"/>
    <w:uiPriority w:val="32"/>
    <w:qFormat/>
    <w:rsid w:val="00CE2D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2422">
      <w:bodyDiv w:val="1"/>
      <w:marLeft w:val="0"/>
      <w:marRight w:val="0"/>
      <w:marTop w:val="0"/>
      <w:marBottom w:val="0"/>
      <w:divBdr>
        <w:top w:val="none" w:sz="0" w:space="0" w:color="auto"/>
        <w:left w:val="none" w:sz="0" w:space="0" w:color="auto"/>
        <w:bottom w:val="none" w:sz="0" w:space="0" w:color="auto"/>
        <w:right w:val="none" w:sz="0" w:space="0" w:color="auto"/>
      </w:divBdr>
      <w:divsChild>
        <w:div w:id="136027716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408</Words>
  <Characters>2137</Characters>
  <Application>Microsoft Office Word</Application>
  <DocSecurity>0</DocSecurity>
  <Lines>65</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Gass</dc:creator>
  <cp:keywords/>
  <dc:description/>
  <cp:lastModifiedBy>Ashton Gass</cp:lastModifiedBy>
  <cp:revision>1</cp:revision>
  <dcterms:created xsi:type="dcterms:W3CDTF">2024-04-11T22:50:00Z</dcterms:created>
  <dcterms:modified xsi:type="dcterms:W3CDTF">2024-04-12T00:11:00Z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68ab56de-eadc-4101-8e1d-aed08b6c3a04</vt:lpwstr>
  </property>
</Properties>
</file>