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sz w:val="26"/>
          <w:szCs w:val="26"/>
        </w:rPr>
      </w:pPr>
      <w:r>
        <w:rPr>
          <w:sz w:val="26"/>
          <w:szCs w:val="26"/>
          <w:rtl w:val="0"/>
          <w:lang w:val="en-US"/>
        </w:rPr>
        <w:t>Persister Cells</w:t>
      </w:r>
    </w:p>
    <w:p>
      <w:pPr>
        <w:pStyle w:val="Body A"/>
        <w:rPr>
          <w:sz w:val="26"/>
          <w:szCs w:val="26"/>
        </w:rPr>
      </w:pPr>
    </w:p>
    <w:p>
      <w:pPr>
        <w:pStyle w:val="Body A"/>
        <w:rPr>
          <w:sz w:val="24"/>
          <w:szCs w:val="24"/>
        </w:rPr>
      </w:pPr>
      <w:r>
        <w:rPr>
          <w:sz w:val="24"/>
          <w:szCs w:val="24"/>
          <w:rtl w:val="0"/>
        </w:rPr>
        <w:tab/>
        <w:t xml:space="preserve">Persister cells are cells which have shut down their cellular processes in order to survive an environmental stressor.  The environmental stressor might be heat, high saline concentration, antibiotics or any number of other external factors.  Whatever the stressor is, persister cells shut down, in order to preserve themselves, and are then able to restart their cellular processes when the environment has once again become more hospitable.  Although persister cells are very rare, once they restart their cellular processes, they are able to replicate, which often leads to a renewed colonization of their environment, even after all other cells have been wiped out.  </w:t>
      </w:r>
    </w:p>
    <w:p>
      <w:pPr>
        <w:pStyle w:val="Body A"/>
        <w:rPr>
          <w:sz w:val="24"/>
          <w:szCs w:val="24"/>
        </w:rPr>
      </w:pPr>
      <w:r>
        <w:rPr>
          <w:sz w:val="24"/>
          <w:szCs w:val="24"/>
          <w:rtl w:val="0"/>
        </w:rPr>
        <w:tab/>
        <w:t xml:space="preserve">Persister cells are one of the main topics of research currently being investigated by Dr. Kevin Wilson.  Dr. Wilson, an Associate Professor here at Oklahoma State University, conducts research in the Department of Biochemistry and Molecular Biology.  The existence of cells, which are able to resist treatment, then, regrow afterwards, can be very dangerous because it could render any number of treatment options ineffective.  When asked about the hazards of persister cells, Dr. Wilson said: </w:t>
      </w:r>
      <w:r>
        <w:rPr>
          <w:sz w:val="24"/>
          <w:szCs w:val="24"/>
          <w:rtl w:val="0"/>
          <w:lang w:val="en-US"/>
        </w:rPr>
        <w:t>“</w:t>
      </w:r>
      <w:r>
        <w:rPr>
          <w:sz w:val="24"/>
          <w:szCs w:val="24"/>
          <w:rtl w:val="0"/>
          <w:lang w:val="en-US"/>
        </w:rPr>
        <w:t>This is a very old, but neglected problem</w:t>
      </w:r>
      <w:r>
        <w:rPr>
          <w:sz w:val="24"/>
          <w:szCs w:val="24"/>
          <w:rtl w:val="0"/>
          <w:lang w:val="en-US"/>
        </w:rPr>
        <w:t>”</w:t>
      </w:r>
      <w:r>
        <w:rPr>
          <w:sz w:val="24"/>
          <w:szCs w:val="24"/>
          <w:rtl w:val="0"/>
          <w:lang w:val="en-US"/>
        </w:rPr>
        <w:t>.  Persisters are present in almost all bacteria, but not only in bacteria.</w:t>
      </w:r>
      <w:r>
        <w:rPr>
          <w:sz w:val="24"/>
          <w:szCs w:val="24"/>
          <w:rtl w:val="0"/>
          <w:lang w:val="en-US"/>
        </w:rPr>
        <w:t xml:space="preserve">”  </w:t>
      </w:r>
      <w:r>
        <w:rPr>
          <w:sz w:val="24"/>
          <w:szCs w:val="24"/>
          <w:rtl w:val="0"/>
          <w:lang w:val="en-US"/>
        </w:rPr>
        <w:t xml:space="preserve">According to Dr. Wilson, persister cells are currently associated with Cystic Fibrosis, but in the future, they could potentially be implicated in other human health issues, such as the re-emergence of cancer cells after chemotherapy and even antibiotic resistance. </w:t>
      </w:r>
    </w:p>
    <w:p>
      <w:pPr>
        <w:pStyle w:val="Body A"/>
        <w:rPr>
          <w:sz w:val="24"/>
          <w:szCs w:val="24"/>
        </w:rPr>
      </w:pPr>
      <w:r>
        <w:rPr>
          <w:sz w:val="24"/>
          <w:szCs w:val="24"/>
          <w:rtl w:val="0"/>
        </w:rPr>
        <w:tab/>
        <w:t xml:space="preserve">This resilience has caused persister cells to become a health hazard for all humans.  Being able to survive the use of antibiotics, resister cells then can have an increased chance for gaining immunity to those antibiotics.  Antibiotic immunity has already caused major difficulties in the prevention and healing of many diseases, and could become far worse in the future.  Any insight into the cause of antibiotic immunity could be a helpful tool in the fight against future occurrences.  </w:t>
      </w:r>
    </w:p>
    <w:p>
      <w:pPr>
        <w:pStyle w:val="Body A"/>
        <w:rPr>
          <w:sz w:val="24"/>
          <w:szCs w:val="24"/>
        </w:rPr>
      </w:pPr>
      <w:r>
        <w:rPr>
          <w:sz w:val="24"/>
          <w:szCs w:val="24"/>
          <w:rtl w:val="0"/>
        </w:rPr>
        <w:tab/>
        <w:t xml:space="preserve">While persister cells share the genotype of their surrounding cells, they are phenotypically altered by environmental factors, changing the release of an antitoxin which normally binds to a toxin.  These changes alter the function of the cell by ceasing all protein synthesis carried out by ribosomes.  Without protein synthesis, the cell becomes dormant.  </w:t>
      </w:r>
      <w:r>
        <w:rPr>
          <w:sz w:val="24"/>
          <w:szCs w:val="24"/>
          <w:rtl w:val="0"/>
          <w:lang w:val="en-US"/>
        </w:rPr>
        <w:t>M</w:t>
      </w:r>
      <w:r>
        <w:rPr>
          <w:sz w:val="24"/>
          <w:szCs w:val="24"/>
          <w:rtl w:val="0"/>
          <w:lang w:val="en-US"/>
        </w:rPr>
        <w:t>ost antibiotics target active cellular processes</w:t>
      </w:r>
      <w:r>
        <w:rPr>
          <w:sz w:val="24"/>
          <w:szCs w:val="24"/>
          <w:rtl w:val="0"/>
          <w:lang w:val="en-US"/>
        </w:rPr>
        <w:t xml:space="preserve"> so </w:t>
      </w:r>
      <w:r>
        <w:rPr>
          <w:sz w:val="24"/>
          <w:szCs w:val="24"/>
          <w:rtl w:val="0"/>
          <w:lang w:val="en-US"/>
        </w:rPr>
        <w:t>they become largely ineffective when protein synthesis is stopped.</w:t>
      </w:r>
    </w:p>
    <w:p>
      <w:pPr>
        <w:pStyle w:val="Body A"/>
        <w:rPr>
          <w:sz w:val="24"/>
          <w:szCs w:val="24"/>
        </w:rPr>
      </w:pPr>
      <w:r>
        <w:rPr>
          <w:sz w:val="24"/>
          <w:szCs w:val="24"/>
        </w:rPr>
        <w:tab/>
      </w:r>
      <w:r>
        <w:rPr>
          <w:sz w:val="24"/>
          <w:szCs w:val="24"/>
          <w:rtl w:val="0"/>
          <w:lang w:val="en-US"/>
        </w:rPr>
        <w:t>T</w:t>
      </w:r>
      <w:r>
        <w:rPr>
          <w:sz w:val="24"/>
          <w:szCs w:val="24"/>
          <w:rtl w:val="0"/>
          <w:lang w:val="en-US"/>
        </w:rPr>
        <w:t>here is currently no known way of stopping the formation of persister cells</w:t>
      </w:r>
      <w:r>
        <w:rPr>
          <w:sz w:val="24"/>
          <w:szCs w:val="24"/>
          <w:rtl w:val="0"/>
          <w:lang w:val="en-US"/>
        </w:rPr>
        <w:t xml:space="preserve">.  Despite this </w:t>
      </w:r>
      <w:r>
        <w:rPr>
          <w:sz w:val="24"/>
          <w:szCs w:val="24"/>
          <w:rtl w:val="0"/>
          <w:lang w:val="en-US"/>
        </w:rPr>
        <w:t xml:space="preserve">various methods of stopping their impact </w:t>
      </w:r>
      <w:r>
        <w:rPr>
          <w:sz w:val="24"/>
          <w:szCs w:val="24"/>
          <w:rtl w:val="0"/>
          <w:lang w:val="en-US"/>
        </w:rPr>
        <w:t>can</w:t>
      </w:r>
      <w:r>
        <w:rPr>
          <w:sz w:val="24"/>
          <w:szCs w:val="24"/>
          <w:rtl w:val="0"/>
          <w:lang w:val="en-US"/>
        </w:rPr>
        <w:t xml:space="preserve"> be utilized.  Dr. Wilson believes that there are two basic options available when dealing with these resilient, yet dangerous cells.  The first option is to use an antibiotic which is able to destroy a cell which has ceased all normal cellular functions.  This would ensure that the persister cells would be unable to survive and then restart a disease.  The second option would be to find drugs which could keep the cells in their harmless persister state.  </w:t>
      </w:r>
    </w:p>
    <w:p>
      <w:pPr>
        <w:pStyle w:val="Body A"/>
        <w:rPr>
          <w:sz w:val="24"/>
          <w:szCs w:val="24"/>
        </w:rPr>
      </w:pPr>
      <w:r>
        <w:rPr>
          <w:sz w:val="24"/>
          <w:szCs w:val="24"/>
          <w:rtl w:val="0"/>
        </w:rPr>
        <w:tab/>
        <w:t>The research on persister cells is critically important work in a subject of which few people are aware.  Obviously, more research is necessary to discern how widespread the problems which arise from these persister cells actually are, and, even more importantly, how the problems they create can be stopped.  Thankfully, many important steps in identifying and understanding the problem presented by persister cells have already been taken due to Dr. Wilson and his students</w:t>
      </w:r>
      <w:r>
        <w:rPr>
          <w:sz w:val="24"/>
          <w:szCs w:val="24"/>
          <w:rtl w:val="0"/>
          <w:lang w:val="en-US"/>
        </w:rPr>
        <w:t xml:space="preserve">’ </w:t>
      </w:r>
      <w:r>
        <w:rPr>
          <w:sz w:val="24"/>
          <w:szCs w:val="24"/>
          <w:rtl w:val="0"/>
          <w:lang w:val="en-US"/>
        </w:rPr>
        <w:t>research.</w:t>
      </w:r>
    </w:p>
    <w:p>
      <w:pPr>
        <w:pStyle w:val="Body A"/>
        <w:rPr>
          <w:sz w:val="24"/>
          <w:szCs w:val="24"/>
        </w:rPr>
      </w:pPr>
      <w:r>
        <w:rPr>
          <w:sz w:val="24"/>
          <w:szCs w:val="24"/>
        </w:rPr>
        <w:tab/>
      </w:r>
    </w:p>
    <w:p>
      <w:pPr>
        <w:pStyle w:val="Body A"/>
        <w:rPr>
          <w:sz w:val="24"/>
          <w:szCs w:val="24"/>
        </w:rPr>
      </w:pPr>
      <w:r>
        <w:rPr>
          <w:sz w:val="24"/>
          <w:szCs w:val="24"/>
          <w:rtl w:val="0"/>
          <w:lang w:val="en-US"/>
        </w:rPr>
        <w:t>References:</w:t>
      </w:r>
    </w:p>
    <w:p>
      <w:pPr>
        <w:pStyle w:val="Body A"/>
        <w:rPr>
          <w:sz w:val="24"/>
          <w:szCs w:val="24"/>
        </w:rPr>
      </w:pPr>
    </w:p>
    <w:p>
      <w:pPr>
        <w:pStyle w:val="Default"/>
        <w:spacing w:line="320" w:lineRule="atLeast"/>
        <w:rPr>
          <w:rStyle w:val="None"/>
          <w:rFonts w:ascii="Helvetica" w:cs="Helvetica" w:hAnsi="Helvetica" w:eastAsia="Helvetica"/>
          <w:color w:val="1c1d1e"/>
          <w:sz w:val="24"/>
          <w:szCs w:val="24"/>
          <w:u w:color="1c1d1e"/>
          <w:shd w:val="clear" w:color="auto" w:fill="ffffff"/>
        </w:rPr>
      </w:pPr>
      <w:r>
        <w:rPr>
          <w:rFonts w:ascii="Helvetica" w:hAnsi="Helvetica"/>
          <w:color w:val="1c1d1e"/>
          <w:sz w:val="24"/>
          <w:szCs w:val="24"/>
          <w:u w:color="1c1d1e"/>
          <w:shd w:val="clear" w:color="auto" w:fill="ffffff"/>
          <w:rtl w:val="0"/>
          <w:lang w:val="en-US"/>
        </w:rPr>
        <w:t>Cho, J. , Rogers, J. , Kearns, M. , Leslie, M. , Hartson, S. D. and Wilson, K. S. (2015), Ribosome complexes in</w:t>
      </w:r>
      <w:r>
        <w:rPr>
          <w:rFonts w:ascii="Helvetica" w:hAnsi="Helvetica" w:hint="default"/>
          <w:color w:val="1c1d1e"/>
          <w:sz w:val="24"/>
          <w:szCs w:val="24"/>
          <w:u w:color="1c1d1e"/>
          <w:shd w:val="clear" w:color="auto" w:fill="ffffff"/>
          <w:rtl w:val="0"/>
          <w:lang w:val="en-US"/>
        </w:rPr>
        <w:t> </w:t>
      </w:r>
      <w:r>
        <w:rPr>
          <w:rFonts w:ascii="Helvetica" w:hAnsi="Helvetica"/>
          <w:i w:val="1"/>
          <w:iCs w:val="1"/>
          <w:color w:val="1c1d1e"/>
          <w:sz w:val="24"/>
          <w:szCs w:val="24"/>
          <w:u w:color="1c1d1e"/>
          <w:shd w:val="clear" w:color="auto" w:fill="ffffff"/>
          <w:rtl w:val="0"/>
          <w:lang w:val="en-US"/>
        </w:rPr>
        <w:t>E.</w:t>
      </w:r>
      <w:r>
        <w:rPr>
          <w:rFonts w:ascii="Helvetica" w:hAnsi="Helvetica" w:hint="default"/>
          <w:i w:val="1"/>
          <w:iCs w:val="1"/>
          <w:color w:val="1c1d1e"/>
          <w:sz w:val="24"/>
          <w:szCs w:val="24"/>
          <w:u w:color="1c1d1e"/>
          <w:shd w:val="clear" w:color="auto" w:fill="ffffff"/>
          <w:rtl w:val="0"/>
          <w:lang w:val="ru-RU"/>
        </w:rPr>
        <w:t> </w:t>
      </w:r>
      <w:r>
        <w:rPr>
          <w:rFonts w:ascii="Helvetica" w:hAnsi="Helvetica"/>
          <w:i w:val="1"/>
          <w:iCs w:val="1"/>
          <w:color w:val="1c1d1e"/>
          <w:sz w:val="24"/>
          <w:szCs w:val="24"/>
          <w:u w:color="1c1d1e"/>
          <w:shd w:val="clear" w:color="auto" w:fill="ffffff"/>
          <w:rtl w:val="0"/>
          <w:lang w:val="it-IT"/>
        </w:rPr>
        <w:t>coli</w:t>
      </w:r>
      <w:r>
        <w:rPr>
          <w:rFonts w:ascii="Helvetica" w:hAnsi="Helvetica" w:hint="default"/>
          <w:color w:val="1c1d1e"/>
          <w:sz w:val="24"/>
          <w:szCs w:val="24"/>
          <w:u w:color="1c1d1e"/>
          <w:shd w:val="clear" w:color="auto" w:fill="ffffff"/>
          <w:rtl w:val="0"/>
          <w:lang w:val="en-US"/>
        </w:rPr>
        <w:t> </w:t>
      </w:r>
      <w:r>
        <w:rPr>
          <w:rFonts w:ascii="Helvetica" w:hAnsi="Helvetica"/>
          <w:color w:val="1c1d1e"/>
          <w:sz w:val="24"/>
          <w:szCs w:val="24"/>
          <w:u w:color="1c1d1e"/>
          <w:shd w:val="clear" w:color="auto" w:fill="ffffff"/>
          <w:rtl w:val="0"/>
          <w:lang w:val="en-US"/>
        </w:rPr>
        <w:t>persisters. Molecular Microbiology, 95: 352-364. doi:</w:t>
      </w:r>
      <w:r>
        <w:rPr>
          <w:rStyle w:val="Hyperlink.0"/>
          <w:rFonts w:ascii="Helvetica" w:cs="Helvetica" w:hAnsi="Helvetica" w:eastAsia="Helvetica"/>
          <w:color w:val="005274"/>
          <w:sz w:val="24"/>
          <w:szCs w:val="24"/>
          <w:u w:color="005274"/>
          <w:shd w:val="clear" w:color="auto" w:fill="ffffff"/>
          <w:lang w:val="en-US"/>
        </w:rPr>
        <w:fldChar w:fldCharType="begin" w:fldLock="0"/>
      </w:r>
      <w:r>
        <w:rPr>
          <w:rStyle w:val="Hyperlink.0"/>
          <w:rFonts w:ascii="Helvetica" w:cs="Helvetica" w:hAnsi="Helvetica" w:eastAsia="Helvetica"/>
          <w:color w:val="005274"/>
          <w:sz w:val="24"/>
          <w:szCs w:val="24"/>
          <w:u w:color="005274"/>
          <w:shd w:val="clear" w:color="auto" w:fill="ffffff"/>
          <w:lang w:val="en-US"/>
        </w:rPr>
        <w:instrText xml:space="preserve"> HYPERLINK "https://doi.org/10.1111/mmi.12884"</w:instrText>
      </w:r>
      <w:r>
        <w:rPr>
          <w:rStyle w:val="Hyperlink.0"/>
          <w:rFonts w:ascii="Helvetica" w:cs="Helvetica" w:hAnsi="Helvetica" w:eastAsia="Helvetica"/>
          <w:color w:val="005274"/>
          <w:sz w:val="24"/>
          <w:szCs w:val="24"/>
          <w:u w:color="005274"/>
          <w:shd w:val="clear" w:color="auto" w:fill="ffffff"/>
          <w:lang w:val="en-US"/>
        </w:rPr>
        <w:fldChar w:fldCharType="separate" w:fldLock="0"/>
      </w:r>
      <w:r>
        <w:rPr>
          <w:rStyle w:val="Hyperlink.0"/>
          <w:rFonts w:ascii="Helvetica" w:hAnsi="Helvetica"/>
          <w:color w:val="005274"/>
          <w:sz w:val="24"/>
          <w:szCs w:val="24"/>
          <w:u w:color="005274"/>
          <w:shd w:val="clear" w:color="auto" w:fill="ffffff"/>
          <w:rtl w:val="0"/>
          <w:lang w:val="en-US"/>
        </w:rPr>
        <w:t>10.1111/mmi.12884</w:t>
      </w:r>
      <w:r>
        <w:rPr/>
        <w:fldChar w:fldCharType="end" w:fldLock="0"/>
      </w:r>
    </w:p>
    <w:p>
      <w:pPr>
        <w:pStyle w:val="Default"/>
        <w:spacing w:line="320" w:lineRule="atLeast"/>
        <w:rPr>
          <w:rStyle w:val="None"/>
          <w:rFonts w:ascii="Helvetica" w:cs="Helvetica" w:hAnsi="Helvetica" w:eastAsia="Helvetica"/>
          <w:color w:val="1c1d1e"/>
          <w:sz w:val="24"/>
          <w:szCs w:val="24"/>
          <w:u w:color="1c1d1e"/>
          <w:shd w:val="clear" w:color="auto" w:fill="ffffff"/>
        </w:rPr>
      </w:pPr>
    </w:p>
    <w:p>
      <w:pPr>
        <w:pStyle w:val="Default"/>
        <w:spacing w:line="320" w:lineRule="atLeast"/>
      </w:pPr>
      <w:r>
        <w:rPr>
          <w:rStyle w:val="None"/>
          <w:rFonts w:ascii="Helvetica" w:hAnsi="Helvetica"/>
          <w:color w:val="1c1d1e"/>
          <w:sz w:val="24"/>
          <w:szCs w:val="24"/>
          <w:u w:color="1c1d1e"/>
          <w:shd w:val="clear" w:color="auto" w:fill="ffffff"/>
          <w:rtl w:val="0"/>
          <w:lang w:val="en-US"/>
        </w:rPr>
        <w:t>Dr. Kevin Wilson (2018, April 10) Personal Interview</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color w:val="005274"/>
      <w:sz w:val="24"/>
      <w:szCs w:val="24"/>
      <w:u w:color="005274"/>
      <w:shd w:val="clear" w:color="auto" w:fill="ffffff"/>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