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BCB9C" w14:textId="77777777"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14:paraId="4FAF06B3" w14:textId="77777777" w:rsidR="00C3446E" w:rsidRPr="00D82504" w:rsidRDefault="004E0013" w:rsidP="00BC43A2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56"/>
          <w:szCs w:val="28"/>
        </w:rPr>
        <w:t xml:space="preserve">A review </w:t>
      </w:r>
      <w:r w:rsidR="00EA13E5">
        <w:rPr>
          <w:rFonts w:ascii="Cambria" w:hAnsi="Cambria"/>
          <w:b/>
          <w:sz w:val="56"/>
          <w:szCs w:val="28"/>
        </w:rPr>
        <w:t>about</w:t>
      </w:r>
      <w:r>
        <w:rPr>
          <w:rFonts w:ascii="Cambria" w:hAnsi="Cambria"/>
          <w:b/>
          <w:sz w:val="56"/>
          <w:szCs w:val="28"/>
        </w:rPr>
        <w:t xml:space="preserve"> commensal bacteria making GPCR ligands that mimic human signaling molecules</w:t>
      </w:r>
    </w:p>
    <w:p w14:paraId="08A0D194" w14:textId="54B9099E" w:rsidR="00E76E04" w:rsidRDefault="00B03E0C" w:rsidP="00E76E04">
      <w:pPr>
        <w:spacing w:line="240" w:lineRule="auto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E48E0" wp14:editId="35FE68CE">
                <wp:simplePos x="0" y="0"/>
                <wp:positionH relativeFrom="column">
                  <wp:posOffset>-22860</wp:posOffset>
                </wp:positionH>
                <wp:positionV relativeFrom="paragraph">
                  <wp:posOffset>692150</wp:posOffset>
                </wp:positionV>
                <wp:extent cx="5958840" cy="2819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D0B92" w14:textId="77777777" w:rsidR="006C7C55" w:rsidRPr="00E76E04" w:rsidRDefault="006C7C55" w:rsidP="006C7C5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</w:p>
                          <w:p w14:paraId="00D19F48" w14:textId="77777777" w:rsidR="006C7C55" w:rsidRPr="00E76E04" w:rsidRDefault="004150F9" w:rsidP="006C7C55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20"/>
                              </w:rPr>
                              <w:t>Gastrointestinal bacteria</w:t>
                            </w:r>
                            <w:r w:rsidR="006C7C55" w:rsidRPr="00E76E04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>GPCR</w:t>
                            </w:r>
                            <w:r w:rsidR="006C7C55" w:rsidRPr="00E76E04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>bioinformatics</w:t>
                            </w:r>
                            <w:r w:rsidR="006C7C55" w:rsidRPr="00E76E04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>synthetic biology, gene editing</w:t>
                            </w:r>
                          </w:p>
                          <w:p w14:paraId="04D84C53" w14:textId="77777777" w:rsidR="006C7C55" w:rsidRDefault="006C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E4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54.5pt;width:46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i3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" filled="f" stroked="f">
                <v:textbox>
                  <w:txbxContent>
                    <w:p w14:paraId="019D0B92" w14:textId="77777777" w:rsidR="006C7C55" w:rsidRPr="00E76E04" w:rsidRDefault="006C7C55" w:rsidP="006C7C55">
                      <w:pPr>
                        <w:spacing w:after="0" w:line="240" w:lineRule="auto"/>
                        <w:jc w:val="left"/>
                        <w:rPr>
                          <w:b/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</w:p>
                    <w:p w14:paraId="00D19F48" w14:textId="77777777" w:rsidR="006C7C55" w:rsidRPr="00E76E04" w:rsidRDefault="004150F9" w:rsidP="006C7C55">
                      <w:pPr>
                        <w:spacing w:after="0" w:line="240" w:lineRule="auto"/>
                        <w:jc w:val="left"/>
                        <w:rPr>
                          <w:sz w:val="14"/>
                          <w:szCs w:val="20"/>
                        </w:rPr>
                      </w:pPr>
                      <w:r>
                        <w:rPr>
                          <w:sz w:val="14"/>
                          <w:szCs w:val="20"/>
                        </w:rPr>
                        <w:t>Gastrointestinal bacteria</w:t>
                      </w:r>
                      <w:r w:rsidR="006C7C55" w:rsidRPr="00E76E04">
                        <w:rPr>
                          <w:sz w:val="14"/>
                          <w:szCs w:val="20"/>
                        </w:rPr>
                        <w:t xml:space="preserve">, </w:t>
                      </w:r>
                      <w:r>
                        <w:rPr>
                          <w:sz w:val="14"/>
                          <w:szCs w:val="20"/>
                        </w:rPr>
                        <w:t>GPCR</w:t>
                      </w:r>
                      <w:r w:rsidR="006C7C55" w:rsidRPr="00E76E04">
                        <w:rPr>
                          <w:sz w:val="14"/>
                          <w:szCs w:val="20"/>
                        </w:rPr>
                        <w:t xml:space="preserve">, </w:t>
                      </w:r>
                      <w:r>
                        <w:rPr>
                          <w:sz w:val="14"/>
                          <w:szCs w:val="20"/>
                        </w:rPr>
                        <w:t>bioinformatics</w:t>
                      </w:r>
                      <w:r w:rsidR="006C7C55" w:rsidRPr="00E76E04">
                        <w:rPr>
                          <w:sz w:val="14"/>
                          <w:szCs w:val="20"/>
                        </w:rPr>
                        <w:t xml:space="preserve">, </w:t>
                      </w:r>
                      <w:r>
                        <w:rPr>
                          <w:sz w:val="14"/>
                          <w:szCs w:val="20"/>
                        </w:rPr>
                        <w:t>synthetic biology, gene editing</w:t>
                      </w:r>
                    </w:p>
                    <w:p w14:paraId="04D84C53" w14:textId="77777777" w:rsidR="006C7C55" w:rsidRDefault="006C7C55"/>
                  </w:txbxContent>
                </v:textbox>
                <w10:wrap type="square"/>
              </v:shape>
            </w:pict>
          </mc:Fallback>
        </mc:AlternateContent>
      </w:r>
      <w:r w:rsidR="00D82504">
        <w:rPr>
          <w:sz w:val="18"/>
          <w:szCs w:val="28"/>
        </w:rPr>
        <w:t xml:space="preserve">Author: </w:t>
      </w:r>
      <w:r w:rsidR="00691BD9">
        <w:rPr>
          <w:sz w:val="18"/>
          <w:szCs w:val="28"/>
        </w:rPr>
        <w:t xml:space="preserve"> </w:t>
      </w:r>
      <w:r w:rsidR="006140AA">
        <w:rPr>
          <w:sz w:val="18"/>
          <w:szCs w:val="28"/>
        </w:rPr>
        <w:t>Yu Dai</w:t>
      </w:r>
      <w:r w:rsidR="00D82504">
        <w:rPr>
          <w:sz w:val="18"/>
          <w:szCs w:val="28"/>
        </w:rPr>
        <w:br/>
        <w:t xml:space="preserve">Major: </w:t>
      </w:r>
      <w:r w:rsidR="006140AA">
        <w:rPr>
          <w:sz w:val="18"/>
          <w:szCs w:val="28"/>
        </w:rPr>
        <w:t>Chemistry</w:t>
      </w:r>
      <w:r w:rsidR="00691BD9">
        <w:rPr>
          <w:sz w:val="18"/>
          <w:szCs w:val="28"/>
        </w:rPr>
        <w:br/>
      </w:r>
      <w:r w:rsidR="00D82504">
        <w:rPr>
          <w:sz w:val="18"/>
          <w:szCs w:val="28"/>
        </w:rPr>
        <w:t xml:space="preserve">Department of Microbiology and Molecular Genetics, Oklahoma </w:t>
      </w:r>
      <w:r w:rsidR="00283657">
        <w:rPr>
          <w:sz w:val="18"/>
          <w:szCs w:val="28"/>
        </w:rPr>
        <w:t>State University, Stillwater, OK</w:t>
      </w:r>
      <w:r w:rsidR="00D82504">
        <w:rPr>
          <w:sz w:val="18"/>
          <w:szCs w:val="28"/>
        </w:rPr>
        <w:t xml:space="preserve"> 74078, USA </w:t>
      </w:r>
    </w:p>
    <w:p w14:paraId="1C94D85C" w14:textId="673BF234" w:rsidR="003F6ABD" w:rsidRPr="00172E77" w:rsidRDefault="002F1F2B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Abstract</w:t>
      </w:r>
      <w:r w:rsidR="0065627F">
        <w:rPr>
          <w:b/>
          <w:sz w:val="20"/>
        </w:rPr>
        <w:t>:</w:t>
      </w:r>
      <w:r w:rsidR="0065627F">
        <w:rPr>
          <w:rFonts w:hint="eastAsia"/>
          <w:b/>
          <w:sz w:val="20"/>
          <w:lang w:eastAsia="zh-CN"/>
        </w:rPr>
        <w:t xml:space="preserve"> </w:t>
      </w:r>
      <w:r w:rsidR="00D37CE1">
        <w:rPr>
          <w:b/>
          <w:sz w:val="20"/>
          <w:lang w:eastAsia="zh-CN"/>
        </w:rPr>
        <w:t xml:space="preserve">Although the human microbiome is important to human physiology, the mechanisms </w:t>
      </w:r>
      <w:r w:rsidR="007C428B">
        <w:rPr>
          <w:b/>
          <w:sz w:val="20"/>
          <w:lang w:eastAsia="zh-CN"/>
        </w:rPr>
        <w:t xml:space="preserve">are poorly explained. </w:t>
      </w:r>
      <w:r w:rsidR="00507EC4">
        <w:rPr>
          <w:b/>
          <w:sz w:val="20"/>
          <w:lang w:eastAsia="zh-CN"/>
        </w:rPr>
        <w:t>Human microb</w:t>
      </w:r>
      <w:r w:rsidR="007C428B">
        <w:rPr>
          <w:b/>
          <w:sz w:val="20"/>
          <w:lang w:eastAsia="zh-CN"/>
        </w:rPr>
        <w:t>iome</w:t>
      </w:r>
      <w:r w:rsidR="00507EC4">
        <w:rPr>
          <w:b/>
          <w:sz w:val="20"/>
          <w:lang w:eastAsia="zh-CN"/>
        </w:rPr>
        <w:t xml:space="preserve"> (including commensal bacteria) and human cells communicate closely through signaling molecules. </w:t>
      </w:r>
      <w:r w:rsidR="007C428B">
        <w:rPr>
          <w:b/>
          <w:sz w:val="20"/>
          <w:lang w:eastAsia="zh-CN"/>
        </w:rPr>
        <w:t xml:space="preserve">This review focuses on identifying these signaling molecules and host receptors. </w:t>
      </w:r>
      <w:r w:rsidR="0065627F" w:rsidRPr="0065627F">
        <w:rPr>
          <w:b/>
          <w:sz w:val="20"/>
        </w:rPr>
        <w:t>By using the techniques of bioinformatics and synthetic biology, Brady</w:t>
      </w:r>
      <w:r w:rsidR="007C428B">
        <w:rPr>
          <w:b/>
          <w:sz w:val="20"/>
        </w:rPr>
        <w:t xml:space="preserve"> et al.</w:t>
      </w:r>
      <w:r w:rsidR="0065627F" w:rsidRPr="0065627F">
        <w:rPr>
          <w:b/>
          <w:sz w:val="20"/>
        </w:rPr>
        <w:t xml:space="preserve"> from Rockefeller University discovered that one of the metabolites of gastrointestinal bacteria, N-acyl amides, are ligands of G-protein-coupled-receptors (GPCRs). The interaction between N-acyl and a kind of GPCRs called GPR119 can regulate metabolic hormones and glucose homeostasis. </w:t>
      </w:r>
      <w:r w:rsidR="00D26650">
        <w:rPr>
          <w:b/>
          <w:sz w:val="20"/>
        </w:rPr>
        <w:t xml:space="preserve">This research illustrated that the chemical mimicry of signaling molecules may be common among commensal bacteria. </w:t>
      </w:r>
      <w:r w:rsidR="005167B7">
        <w:rPr>
          <w:b/>
          <w:sz w:val="20"/>
        </w:rPr>
        <w:t>W</w:t>
      </w:r>
      <w:r w:rsidR="005167B7" w:rsidRPr="005167B7">
        <w:rPr>
          <w:b/>
          <w:sz w:val="20"/>
        </w:rPr>
        <w:t xml:space="preserve">e can genetically edit the gastrointestinal bacteria, allowing </w:t>
      </w:r>
      <w:r w:rsidR="006140AA">
        <w:rPr>
          <w:b/>
          <w:sz w:val="20"/>
        </w:rPr>
        <w:t xml:space="preserve">them </w:t>
      </w:r>
      <w:r w:rsidR="005167B7" w:rsidRPr="005167B7">
        <w:rPr>
          <w:b/>
          <w:sz w:val="20"/>
        </w:rPr>
        <w:t>to produce N- acyl amides</w:t>
      </w:r>
      <w:r w:rsidR="005167B7">
        <w:rPr>
          <w:b/>
          <w:sz w:val="20"/>
        </w:rPr>
        <w:t>, which presents a possible microbiome-biosynthetic gene therapy</w:t>
      </w:r>
      <w:r w:rsidR="00470111">
        <w:rPr>
          <w:b/>
          <w:sz w:val="20"/>
        </w:rPr>
        <w:t xml:space="preserve"> for relating diseases.</w:t>
      </w:r>
    </w:p>
    <w:p w14:paraId="153D00BD" w14:textId="77777777" w:rsidR="006C7C55" w:rsidRDefault="006C7C55" w:rsidP="00126F81">
      <w:pPr>
        <w:spacing w:after="0" w:line="240" w:lineRule="auto"/>
        <w:jc w:val="left"/>
        <w:rPr>
          <w:b/>
          <w:sz w:val="18"/>
          <w:szCs w:val="20"/>
        </w:rPr>
      </w:pPr>
    </w:p>
    <w:p w14:paraId="605218CB" w14:textId="77777777"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14:paraId="488DFE2F" w14:textId="77777777"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default" r:id="rId9"/>
          <w:footerReference w:type="default" r:id="rId10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14:paraId="0A5D3422" w14:textId="77777777" w:rsidR="00CD11C0" w:rsidRDefault="00CD11C0" w:rsidP="00126F81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Introduction</w:t>
      </w:r>
    </w:p>
    <w:p w14:paraId="34A5B4C6" w14:textId="77777777" w:rsidR="00E540D2" w:rsidRDefault="004E0013" w:rsidP="00E540D2">
      <w:pPr>
        <w:spacing w:after="0" w:line="240" w:lineRule="auto"/>
        <w:ind w:firstLineChars="200" w:firstLine="400"/>
        <w:jc w:val="both"/>
        <w:rPr>
          <w:sz w:val="20"/>
          <w:szCs w:val="20"/>
        </w:rPr>
      </w:pPr>
      <w:r>
        <w:rPr>
          <w:sz w:val="20"/>
          <w:szCs w:val="20"/>
        </w:rPr>
        <w:t>Commensal bacteria refer to bacteria that live with organisms</w:t>
      </w:r>
      <w:r w:rsidR="00E540D2">
        <w:rPr>
          <w:sz w:val="20"/>
          <w:szCs w:val="20"/>
        </w:rPr>
        <w:t xml:space="preserve">. Gastrointestinal bacteria are a kind of commensal bacteria </w:t>
      </w:r>
      <w:r w:rsidR="00D25E8C">
        <w:rPr>
          <w:sz w:val="20"/>
          <w:szCs w:val="20"/>
        </w:rPr>
        <w:t>with</w:t>
      </w:r>
      <w:r w:rsidR="00E540D2">
        <w:rPr>
          <w:sz w:val="20"/>
          <w:szCs w:val="20"/>
        </w:rPr>
        <w:t xml:space="preserve"> significant importance in human physiology. They contain more than 2 billion genes and theoretically have extremely complex metabolic pathways. Gastrointestinal bacteria can produce a large number of metabolites that cannot be formed by the human body, </w:t>
      </w:r>
      <w:r w:rsidR="006B2630">
        <w:rPr>
          <w:sz w:val="20"/>
          <w:szCs w:val="20"/>
        </w:rPr>
        <w:t>such as short-chain fatty acids, vitamins, polyunsaturated fatty acids, oligosaccharides and secreted proteins. A</w:t>
      </w:r>
      <w:r w:rsidR="00E540D2">
        <w:rPr>
          <w:sz w:val="20"/>
          <w:szCs w:val="20"/>
        </w:rPr>
        <w:t>nd</w:t>
      </w:r>
      <w:r w:rsidR="006B2630">
        <w:rPr>
          <w:sz w:val="20"/>
          <w:szCs w:val="20"/>
        </w:rPr>
        <w:t xml:space="preserve"> they</w:t>
      </w:r>
      <w:r w:rsidR="00E540D2">
        <w:rPr>
          <w:sz w:val="20"/>
          <w:szCs w:val="20"/>
        </w:rPr>
        <w:t xml:space="preserve"> may also produce various neurotransmitters and neuroactive substances. They use small molecules that they produced to interact with their environment.</w:t>
      </w:r>
    </w:p>
    <w:p w14:paraId="5414E127" w14:textId="285A78BE" w:rsidR="00E540D2" w:rsidRDefault="00E540D2" w:rsidP="00E540D2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H</w:t>
      </w:r>
      <w:r>
        <w:rPr>
          <w:sz w:val="20"/>
          <w:szCs w:val="20"/>
          <w:lang w:eastAsia="zh-CN"/>
        </w:rPr>
        <w:t>owever, little is known about the molecular mechanisms by which bacteria regulate mammalian physiology.</w:t>
      </w:r>
      <w:r w:rsidR="00BC6C90">
        <w:rPr>
          <w:sz w:val="20"/>
          <w:szCs w:val="20"/>
          <w:lang w:eastAsia="zh-CN"/>
        </w:rPr>
        <w:t xml:space="preserve"> The study of these small molecules and the identification of host receptors has potential medicinal value</w:t>
      </w:r>
      <w:r w:rsidR="006832DA">
        <w:rPr>
          <w:sz w:val="20"/>
          <w:szCs w:val="20"/>
          <w:lang w:eastAsia="zh-CN"/>
        </w:rPr>
        <w:t xml:space="preserve"> because the gene modification of bacteria is rather easy and GPCR is a common drugs target</w:t>
      </w:r>
      <w:r w:rsidR="00BC6C90">
        <w:rPr>
          <w:sz w:val="20"/>
          <w:szCs w:val="20"/>
          <w:lang w:eastAsia="zh-CN"/>
        </w:rPr>
        <w:t>.</w:t>
      </w:r>
    </w:p>
    <w:p w14:paraId="400E6B1C" w14:textId="77777777" w:rsidR="00687512" w:rsidRPr="00EA1A10" w:rsidRDefault="00687512" w:rsidP="00126F81">
      <w:pPr>
        <w:spacing w:after="0" w:line="240" w:lineRule="auto"/>
        <w:ind w:firstLine="720"/>
        <w:jc w:val="left"/>
        <w:rPr>
          <w:sz w:val="20"/>
          <w:szCs w:val="20"/>
        </w:rPr>
      </w:pPr>
    </w:p>
    <w:p w14:paraId="042FF821" w14:textId="77777777" w:rsidR="00BC43A2" w:rsidRDefault="007B14BA" w:rsidP="00BC43A2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Recent Progress</w:t>
      </w:r>
    </w:p>
    <w:p w14:paraId="3F4EAD21" w14:textId="77777777" w:rsidR="008442CB" w:rsidRDefault="00003A30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GPCR is the largest class of membrane protein receptors and is the most common target for current drugs. Previous research shows that a human microbiota-encoded long-chain N-acyl amide is able to interact with some kind of GPCRs. And these GPCRs are related to many diseases like diabetes, obesity and cancer</w:t>
      </w:r>
      <w:r w:rsidR="00E53A10">
        <w:rPr>
          <w:sz w:val="20"/>
          <w:szCs w:val="20"/>
          <w:lang w:eastAsia="zh-CN"/>
        </w:rPr>
        <w:t>. From this we can assume that N-acyl amides metabolized by gastrointestinal bacteria</w:t>
      </w:r>
      <w:r w:rsidR="004A5030">
        <w:rPr>
          <w:sz w:val="20"/>
          <w:szCs w:val="20"/>
          <w:lang w:eastAsia="zh-CN"/>
        </w:rPr>
        <w:t xml:space="preserve"> h</w:t>
      </w:r>
      <w:r w:rsidR="00DE1534">
        <w:rPr>
          <w:sz w:val="20"/>
          <w:szCs w:val="20"/>
          <w:lang w:eastAsia="zh-CN"/>
        </w:rPr>
        <w:t>ave similar structure with human signaling molecules</w:t>
      </w:r>
      <w:r w:rsidR="007A1768">
        <w:rPr>
          <w:sz w:val="20"/>
          <w:szCs w:val="20"/>
          <w:lang w:eastAsia="zh-CN"/>
        </w:rPr>
        <w:t>.</w:t>
      </w:r>
    </w:p>
    <w:p w14:paraId="4854AC18" w14:textId="77777777" w:rsidR="0065627F" w:rsidRDefault="007A1768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In order to identify N-acyl synthase (NAS) genes within human microbial genomes, </w:t>
      </w:r>
      <w:r w:rsidR="00F50A1B" w:rsidRPr="00F50A1B">
        <w:rPr>
          <w:sz w:val="20"/>
          <w:szCs w:val="20"/>
          <w:lang w:eastAsia="zh-CN"/>
        </w:rPr>
        <w:t>Brady from Rockefeller University</w:t>
      </w:r>
      <w:r w:rsidR="00430CEC">
        <w:rPr>
          <w:sz w:val="20"/>
          <w:szCs w:val="20"/>
          <w:lang w:eastAsia="zh-CN"/>
        </w:rPr>
        <w:t xml:space="preserve"> searched </w:t>
      </w:r>
      <w:r>
        <w:rPr>
          <w:sz w:val="20"/>
          <w:szCs w:val="20"/>
          <w:lang w:eastAsia="zh-CN"/>
        </w:rPr>
        <w:t>the Human Microbiome Project sequence data and 143 human microbial N-acyl synthase genes were found.</w:t>
      </w:r>
      <w:r w:rsidR="00430CEC">
        <w:rPr>
          <w:sz w:val="20"/>
          <w:szCs w:val="20"/>
          <w:lang w:eastAsia="zh-CN"/>
        </w:rPr>
        <w:t xml:space="preserve"> Subsequently, 44 different NAS genes were selected for synthesis and heterologous expression</w:t>
      </w:r>
      <w:r w:rsidR="0007721E">
        <w:rPr>
          <w:sz w:val="20"/>
          <w:szCs w:val="20"/>
          <w:lang w:eastAsia="zh-CN"/>
        </w:rPr>
        <w:t xml:space="preserve">. After </w:t>
      </w:r>
      <w:r w:rsidR="00430CEC">
        <w:rPr>
          <w:sz w:val="20"/>
          <w:szCs w:val="20"/>
          <w:lang w:eastAsia="zh-CN"/>
        </w:rPr>
        <w:t>transfect</w:t>
      </w:r>
      <w:r w:rsidR="0007721E">
        <w:rPr>
          <w:sz w:val="20"/>
          <w:szCs w:val="20"/>
          <w:lang w:eastAsia="zh-CN"/>
        </w:rPr>
        <w:t>ing</w:t>
      </w:r>
      <w:r w:rsidR="00430CEC">
        <w:rPr>
          <w:sz w:val="20"/>
          <w:szCs w:val="20"/>
          <w:lang w:eastAsia="zh-CN"/>
        </w:rPr>
        <w:t xml:space="preserve"> </w:t>
      </w:r>
      <w:r w:rsidR="0007721E">
        <w:rPr>
          <w:sz w:val="20"/>
          <w:szCs w:val="20"/>
          <w:lang w:eastAsia="zh-CN"/>
        </w:rPr>
        <w:t xml:space="preserve">these NAS genes </w:t>
      </w:r>
      <w:r w:rsidR="00430CEC">
        <w:rPr>
          <w:sz w:val="20"/>
          <w:szCs w:val="20"/>
          <w:lang w:eastAsia="zh-CN"/>
        </w:rPr>
        <w:t>into E. coli</w:t>
      </w:r>
      <w:r w:rsidR="0007721E">
        <w:rPr>
          <w:sz w:val="20"/>
          <w:szCs w:val="20"/>
          <w:lang w:eastAsia="zh-CN"/>
        </w:rPr>
        <w:t>, the author divided the metabolites into six N-acyl amides families</w:t>
      </w:r>
      <w:r w:rsidR="00CA38DA">
        <w:rPr>
          <w:sz w:val="20"/>
          <w:szCs w:val="20"/>
          <w:lang w:eastAsia="zh-CN"/>
        </w:rPr>
        <w:t>, which are: (1) N-acyl glycine; (2) N-</w:t>
      </w:r>
      <w:proofErr w:type="spellStart"/>
      <w:r w:rsidR="00CA38DA">
        <w:rPr>
          <w:sz w:val="20"/>
          <w:szCs w:val="20"/>
          <w:lang w:eastAsia="zh-CN"/>
        </w:rPr>
        <w:t>acyloxyacyl</w:t>
      </w:r>
      <w:proofErr w:type="spellEnd"/>
      <w:r w:rsidR="00CA38DA">
        <w:rPr>
          <w:sz w:val="20"/>
          <w:szCs w:val="20"/>
          <w:lang w:eastAsia="zh-CN"/>
        </w:rPr>
        <w:t xml:space="preserve"> lysine; (3) N-</w:t>
      </w:r>
      <w:proofErr w:type="spellStart"/>
      <w:r w:rsidR="00CA38DA">
        <w:rPr>
          <w:sz w:val="20"/>
          <w:szCs w:val="20"/>
          <w:lang w:eastAsia="zh-CN"/>
        </w:rPr>
        <w:t>acyloxyacyl</w:t>
      </w:r>
      <w:proofErr w:type="spellEnd"/>
      <w:r w:rsidR="00CA38DA">
        <w:rPr>
          <w:sz w:val="20"/>
          <w:szCs w:val="20"/>
          <w:lang w:eastAsia="zh-CN"/>
        </w:rPr>
        <w:t xml:space="preserve"> glutamine; (4) N-acyl lysine/ornithine; (5) N-acyl alanine; (6) N-acyl </w:t>
      </w:r>
      <w:proofErr w:type="spellStart"/>
      <w:r w:rsidR="00CA38DA">
        <w:rPr>
          <w:sz w:val="20"/>
          <w:szCs w:val="20"/>
          <w:lang w:eastAsia="zh-CN"/>
        </w:rPr>
        <w:t>serinol</w:t>
      </w:r>
      <w:proofErr w:type="spellEnd"/>
      <w:r w:rsidR="00CA38DA">
        <w:rPr>
          <w:sz w:val="20"/>
          <w:szCs w:val="20"/>
          <w:lang w:eastAsia="zh-CN"/>
        </w:rPr>
        <w:t>.</w:t>
      </w:r>
    </w:p>
    <w:p w14:paraId="735AFE24" w14:textId="72C5FCCE" w:rsidR="00CA38DA" w:rsidRDefault="00E5384F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F</w:t>
      </w:r>
      <w:r>
        <w:rPr>
          <w:sz w:val="20"/>
          <w:szCs w:val="20"/>
          <w:lang w:eastAsia="zh-CN"/>
        </w:rPr>
        <w:t>u</w:t>
      </w:r>
      <w:bookmarkStart w:id="0" w:name="_GoBack"/>
      <w:bookmarkEnd w:id="0"/>
      <w:r>
        <w:rPr>
          <w:sz w:val="20"/>
          <w:szCs w:val="20"/>
          <w:lang w:eastAsia="zh-CN"/>
        </w:rPr>
        <w:t xml:space="preserve">rther experiments concerning NAS genes confirmed that the N-acyl amides above are regular </w:t>
      </w:r>
      <w:r>
        <w:rPr>
          <w:sz w:val="20"/>
          <w:szCs w:val="20"/>
          <w:lang w:eastAsia="zh-CN"/>
        </w:rPr>
        <w:lastRenderedPageBreak/>
        <w:t>metabolites of the bacteria that contain NAS genes. Meanwhile, compared with bacteria in other parts</w:t>
      </w:r>
      <w:r w:rsidR="006832DA">
        <w:rPr>
          <w:sz w:val="20"/>
          <w:szCs w:val="20"/>
          <w:lang w:eastAsia="zh-CN"/>
        </w:rPr>
        <w:t xml:space="preserve"> of human</w:t>
      </w:r>
      <w:r>
        <w:rPr>
          <w:sz w:val="20"/>
          <w:szCs w:val="20"/>
          <w:lang w:eastAsia="zh-CN"/>
        </w:rPr>
        <w:t>, NAS genes above is more abundant in gastrointestinal bacteria, and its metabolite is mainly the first type, namely N-acyl glycine.</w:t>
      </w:r>
    </w:p>
    <w:p w14:paraId="04D49ABA" w14:textId="656A4F94" w:rsidR="00385C77" w:rsidRDefault="00385C77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For the purpose of determining the interaction between N-acyl-amides and gastrointestinal GPCRs, the main N-acyl amide was isolated form each classification and </w:t>
      </w:r>
      <w:r w:rsidR="006832DA">
        <w:rPr>
          <w:sz w:val="20"/>
          <w:szCs w:val="20"/>
          <w:lang w:eastAsia="zh-CN"/>
        </w:rPr>
        <w:t>their</w:t>
      </w:r>
      <w:r w:rsidR="006832DA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activity against 240 human GPCRs was determined. One of the strongest agonist interactions is the activation of GPR119 by N-palmitoyl </w:t>
      </w:r>
      <w:proofErr w:type="spellStart"/>
      <w:r>
        <w:rPr>
          <w:sz w:val="20"/>
          <w:szCs w:val="20"/>
          <w:lang w:eastAsia="zh-CN"/>
        </w:rPr>
        <w:t>serinol</w:t>
      </w:r>
      <w:proofErr w:type="spellEnd"/>
      <w:r>
        <w:rPr>
          <w:sz w:val="20"/>
          <w:szCs w:val="20"/>
          <w:lang w:eastAsia="zh-CN"/>
        </w:rPr>
        <w:t>. Many other agonist and antagonist activities were found. Those GPCRs targeted by N-acyl amides can interact with immune cells and affect many functions including immune cell differentiation</w:t>
      </w:r>
      <w:r w:rsidR="00F16038">
        <w:rPr>
          <w:sz w:val="20"/>
          <w:szCs w:val="20"/>
          <w:lang w:eastAsia="zh-CN"/>
        </w:rPr>
        <w:t>, immune cell transport, metabolism and tissue repair</w:t>
      </w:r>
      <w:r>
        <w:rPr>
          <w:sz w:val="20"/>
          <w:szCs w:val="20"/>
          <w:lang w:eastAsia="zh-CN"/>
        </w:rPr>
        <w:t>.</w:t>
      </w:r>
    </w:p>
    <w:p w14:paraId="6B40778F" w14:textId="59808C72" w:rsidR="00F16038" w:rsidRDefault="00143907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The author also </w:t>
      </w:r>
      <w:r w:rsidR="008B0CAC">
        <w:rPr>
          <w:sz w:val="20"/>
          <w:szCs w:val="20"/>
          <w:lang w:eastAsia="zh-CN"/>
        </w:rPr>
        <w:t>analyzed</w:t>
      </w:r>
      <w:r>
        <w:rPr>
          <w:sz w:val="20"/>
          <w:szCs w:val="20"/>
          <w:lang w:eastAsia="zh-CN"/>
        </w:rPr>
        <w:t xml:space="preserve"> the structural feature of N-acyl amides. </w:t>
      </w:r>
      <w:r>
        <w:rPr>
          <w:rFonts w:hint="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 xml:space="preserve">he human microbial-encoded N-acyl amides have structural similarities to the endogenous GPCR active ligands. The clearest structural and functional similarity is for the endogenous cannabinoid receptor GPR119. Endogenous GPR119 ligands include </w:t>
      </w:r>
      <w:proofErr w:type="spellStart"/>
      <w:r>
        <w:rPr>
          <w:sz w:val="20"/>
          <w:szCs w:val="20"/>
          <w:lang w:eastAsia="zh-CN"/>
        </w:rPr>
        <w:t>oleoylethanolamide</w:t>
      </w:r>
      <w:proofErr w:type="spellEnd"/>
      <w:r>
        <w:rPr>
          <w:sz w:val="20"/>
          <w:szCs w:val="20"/>
          <w:lang w:eastAsia="zh-CN"/>
        </w:rPr>
        <w:t xml:space="preserve"> (OEA) and the dietary lipid-derivative 2-oleoyl glycerol (2-OG). </w:t>
      </w:r>
      <w:r w:rsidR="00DE22C3">
        <w:rPr>
          <w:sz w:val="20"/>
          <w:szCs w:val="20"/>
          <w:lang w:eastAsia="zh-CN"/>
        </w:rPr>
        <w:t xml:space="preserve">The structural difference between analogues of N-acyl </w:t>
      </w:r>
      <w:proofErr w:type="spellStart"/>
      <w:r w:rsidR="00DE22C3">
        <w:rPr>
          <w:sz w:val="20"/>
          <w:szCs w:val="20"/>
          <w:lang w:eastAsia="zh-CN"/>
        </w:rPr>
        <w:t>serinol</w:t>
      </w:r>
      <w:proofErr w:type="spellEnd"/>
      <w:r w:rsidR="00DE22C3">
        <w:rPr>
          <w:sz w:val="20"/>
          <w:szCs w:val="20"/>
          <w:lang w:eastAsia="zh-CN"/>
        </w:rPr>
        <w:t xml:space="preserve"> and OEA or 2-OG is rather small. Experiments showed that oleoyl analogs of N-acyl </w:t>
      </w:r>
      <w:proofErr w:type="spellStart"/>
      <w:r w:rsidR="00DE22C3">
        <w:rPr>
          <w:sz w:val="20"/>
          <w:szCs w:val="20"/>
          <w:lang w:eastAsia="zh-CN"/>
        </w:rPr>
        <w:t>serinol</w:t>
      </w:r>
      <w:proofErr w:type="spellEnd"/>
      <w:r w:rsidR="00DE22C3">
        <w:rPr>
          <w:sz w:val="20"/>
          <w:szCs w:val="20"/>
          <w:lang w:eastAsia="zh-CN"/>
        </w:rPr>
        <w:t xml:space="preserve"> differs from 2-OG only in that the amide substituted the ester and the difference from OEA was the presence of additional methanol substitution</w:t>
      </w:r>
      <w:r w:rsidR="007A32D8">
        <w:rPr>
          <w:sz w:val="20"/>
          <w:szCs w:val="20"/>
          <w:lang w:eastAsia="zh-CN"/>
        </w:rPr>
        <w:t xml:space="preserve">, as is shown in </w:t>
      </w:r>
      <w:r w:rsidR="007A32D8" w:rsidRPr="007344A4">
        <w:rPr>
          <w:b/>
          <w:sz w:val="20"/>
          <w:szCs w:val="20"/>
          <w:lang w:eastAsia="zh-CN"/>
        </w:rPr>
        <w:t>Figure 1</w:t>
      </w:r>
      <w:r w:rsidR="00DE22C3">
        <w:rPr>
          <w:sz w:val="20"/>
          <w:szCs w:val="20"/>
          <w:lang w:eastAsia="zh-CN"/>
        </w:rPr>
        <w:t>.</w:t>
      </w:r>
    </w:p>
    <w:p w14:paraId="23378650" w14:textId="77777777" w:rsidR="008B0CAC" w:rsidRDefault="008B0CAC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 xml:space="preserve">he author’s research team then focused on the function of GPR119 agonists by experimenting on mice. The result is that, GPR119 agonists (OEA, 2-OG) affect not only glucose homeostasis but also gastric emptying and appetite through metabolic hormones. The regulation is achieved by the release of two hormones: GLP-1 and insulin. It is also demonstrated that N-oleoyl </w:t>
      </w:r>
      <w:proofErr w:type="spellStart"/>
      <w:r>
        <w:rPr>
          <w:sz w:val="20"/>
          <w:szCs w:val="20"/>
          <w:lang w:eastAsia="zh-CN"/>
        </w:rPr>
        <w:t>serinol</w:t>
      </w:r>
      <w:proofErr w:type="spellEnd"/>
      <w:r>
        <w:rPr>
          <w:sz w:val="20"/>
          <w:szCs w:val="20"/>
          <w:lang w:eastAsia="zh-CN"/>
        </w:rPr>
        <w:t xml:space="preserve"> can similarly function as OEA or 2-OG</w:t>
      </w:r>
      <w:r w:rsidR="00040154">
        <w:rPr>
          <w:sz w:val="20"/>
          <w:szCs w:val="20"/>
          <w:lang w:eastAsia="zh-CN"/>
        </w:rPr>
        <w:t>, promoting the release of GLP-1.</w:t>
      </w:r>
    </w:p>
    <w:p w14:paraId="24286B21" w14:textId="77777777" w:rsidR="00E0264F" w:rsidRDefault="00E0264F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ince GPR119 ligand is closely related to glucose metabolism, the authors further studied the effect of bacterial N-acyl amide on glucose metabolism. The authors genetically manipulated E. coli to express N-acyl </w:t>
      </w:r>
      <w:proofErr w:type="spellStart"/>
      <w:r>
        <w:rPr>
          <w:sz w:val="20"/>
          <w:szCs w:val="20"/>
          <w:lang w:eastAsia="zh-CN"/>
        </w:rPr>
        <w:t>serinol</w:t>
      </w:r>
      <w:proofErr w:type="spellEnd"/>
      <w:r>
        <w:rPr>
          <w:sz w:val="20"/>
          <w:szCs w:val="20"/>
          <w:lang w:eastAsia="zh-CN"/>
        </w:rPr>
        <w:t xml:space="preserve"> synthetase, then performed gavage on mice for a week. The blood glucose levels of the treated mice were found to be significantly reduced.</w:t>
      </w:r>
    </w:p>
    <w:p w14:paraId="3DA29014" w14:textId="77777777" w:rsidR="00E0264F" w:rsidRDefault="00E0264F" w:rsidP="009449EC">
      <w:pPr>
        <w:spacing w:after="0" w:line="240" w:lineRule="auto"/>
        <w:ind w:firstLineChars="200" w:firstLine="400"/>
        <w:jc w:val="both"/>
        <w:rPr>
          <w:sz w:val="20"/>
          <w:szCs w:val="20"/>
          <w:lang w:eastAsia="zh-CN"/>
        </w:rPr>
      </w:pPr>
    </w:p>
    <w:p w14:paraId="207E26DC" w14:textId="77777777" w:rsidR="007B14BA" w:rsidRDefault="007B14BA" w:rsidP="00283657">
      <w:pPr>
        <w:spacing w:after="0" w:line="240" w:lineRule="auto"/>
        <w:jc w:val="both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Discussion</w:t>
      </w:r>
    </w:p>
    <w:p w14:paraId="22A5865D" w14:textId="77777777" w:rsidR="008877B4" w:rsidRDefault="0065377B" w:rsidP="00C77BDB">
      <w:pPr>
        <w:spacing w:after="0" w:line="240" w:lineRule="auto"/>
        <w:ind w:firstLineChars="200" w:firstLine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77BDB">
        <w:rPr>
          <w:sz w:val="20"/>
          <w:szCs w:val="20"/>
        </w:rPr>
        <w:t>close relationship between g</w:t>
      </w:r>
      <w:r w:rsidR="00C77BDB" w:rsidRPr="00C77BDB">
        <w:rPr>
          <w:sz w:val="20"/>
          <w:szCs w:val="20"/>
        </w:rPr>
        <w:t>astrointestinal bacteria</w:t>
      </w:r>
      <w:r w:rsidR="00C77BDB">
        <w:rPr>
          <w:sz w:val="20"/>
          <w:szCs w:val="20"/>
        </w:rPr>
        <w:t xml:space="preserve"> and disease has been well confirmed, and the gastrointestinal bacteria has been recognized as an important drug target.</w:t>
      </w:r>
    </w:p>
    <w:p w14:paraId="4320595A" w14:textId="3A647EF1" w:rsidR="004304CE" w:rsidRDefault="00572BF0" w:rsidP="00D004A4">
      <w:pPr>
        <w:spacing w:after="0" w:line="240" w:lineRule="auto"/>
        <w:ind w:firstLineChars="200" w:firstLine="400"/>
        <w:jc w:val="both"/>
        <w:rPr>
          <w:sz w:val="20"/>
          <w:szCs w:val="20"/>
        </w:rPr>
      </w:pPr>
      <w:r>
        <w:rPr>
          <w:sz w:val="20"/>
          <w:szCs w:val="20"/>
          <w:lang w:eastAsia="zh-CN"/>
        </w:rPr>
        <w:t>T</w:t>
      </w:r>
      <w:r w:rsidR="00C77BDB">
        <w:rPr>
          <w:sz w:val="20"/>
          <w:szCs w:val="20"/>
          <w:lang w:eastAsia="zh-CN"/>
        </w:rPr>
        <w:t>he major innovation of the study is using bioinformatics methods to find new drug molecules based on known drug targets. This should give us new ideas in pharmacology research</w:t>
      </w:r>
      <w:r w:rsidR="00D004A4">
        <w:rPr>
          <w:sz w:val="20"/>
          <w:szCs w:val="20"/>
          <w:lang w:eastAsia="zh-CN"/>
        </w:rPr>
        <w:t xml:space="preserve">. </w:t>
      </w:r>
      <w:r w:rsidR="00CD4C93">
        <w:rPr>
          <w:sz w:val="20"/>
          <w:szCs w:val="20"/>
          <w:lang w:eastAsia="zh-CN"/>
        </w:rPr>
        <w:t xml:space="preserve">Then we can genetically edit the </w:t>
      </w:r>
      <w:r w:rsidR="00CD4C93">
        <w:rPr>
          <w:sz w:val="20"/>
          <w:szCs w:val="20"/>
        </w:rPr>
        <w:t>g</w:t>
      </w:r>
      <w:r w:rsidR="00CD4C93" w:rsidRPr="00C77BDB">
        <w:rPr>
          <w:sz w:val="20"/>
          <w:szCs w:val="20"/>
        </w:rPr>
        <w:t>astrointestinal</w:t>
      </w:r>
      <w:r w:rsidR="00CD4C93">
        <w:rPr>
          <w:sz w:val="20"/>
          <w:szCs w:val="20"/>
        </w:rPr>
        <w:t xml:space="preserve"> bacteria, allowing bacteria to produce N- acyl amides that bind to GPR119. </w:t>
      </w:r>
      <w:r w:rsidR="00CD4C93">
        <w:rPr>
          <w:sz w:val="20"/>
          <w:szCs w:val="20"/>
          <w:lang w:eastAsia="zh-CN"/>
        </w:rPr>
        <w:t xml:space="preserve">One of the </w:t>
      </w:r>
      <w:r w:rsidR="00D004A4">
        <w:rPr>
          <w:sz w:val="20"/>
          <w:szCs w:val="20"/>
          <w:lang w:eastAsia="zh-CN"/>
        </w:rPr>
        <w:t>favorable condition</w:t>
      </w:r>
      <w:r w:rsidR="00CD4C93">
        <w:rPr>
          <w:sz w:val="20"/>
          <w:szCs w:val="20"/>
          <w:lang w:eastAsia="zh-CN"/>
        </w:rPr>
        <w:t>s</w:t>
      </w:r>
      <w:r w:rsidR="00D004A4">
        <w:rPr>
          <w:sz w:val="20"/>
          <w:szCs w:val="20"/>
          <w:lang w:eastAsia="zh-CN"/>
        </w:rPr>
        <w:t xml:space="preserve"> of editing bacterial genes for disease treatment is that the genes of these </w:t>
      </w:r>
      <w:r w:rsidR="00D004A4">
        <w:rPr>
          <w:sz w:val="20"/>
          <w:szCs w:val="20"/>
        </w:rPr>
        <w:t>g</w:t>
      </w:r>
      <w:r w:rsidR="00D004A4" w:rsidRPr="00C77BDB">
        <w:rPr>
          <w:sz w:val="20"/>
          <w:szCs w:val="20"/>
        </w:rPr>
        <w:t>astrointestinal</w:t>
      </w:r>
      <w:r w:rsidR="00D004A4">
        <w:rPr>
          <w:sz w:val="20"/>
          <w:szCs w:val="20"/>
        </w:rPr>
        <w:t xml:space="preserve"> </w:t>
      </w:r>
      <w:r w:rsidR="00CD4C93">
        <w:rPr>
          <w:sz w:val="20"/>
          <w:szCs w:val="20"/>
        </w:rPr>
        <w:t xml:space="preserve">bacteria </w:t>
      </w:r>
      <w:r w:rsidR="00D004A4">
        <w:rPr>
          <w:sz w:val="20"/>
          <w:szCs w:val="20"/>
        </w:rPr>
        <w:t>are easier to manipulate than human genes. Actually, all of the bacterial genes in our human body have been completely sequenced before.</w:t>
      </w:r>
    </w:p>
    <w:p w14:paraId="4B10BB0B" w14:textId="77777777" w:rsidR="00D004A4" w:rsidRDefault="00E267EC" w:rsidP="00D004A4">
      <w:pPr>
        <w:spacing w:after="0" w:line="240" w:lineRule="auto"/>
        <w:ind w:firstLineChars="200" w:firstLine="400"/>
        <w:jc w:val="both"/>
        <w:rPr>
          <w:sz w:val="20"/>
          <w:szCs w:val="20"/>
        </w:rPr>
      </w:pPr>
      <w:r w:rsidRPr="00E267EC">
        <w:rPr>
          <w:sz w:val="20"/>
          <w:szCs w:val="20"/>
        </w:rPr>
        <w:t>However</w:t>
      </w:r>
      <w:r>
        <w:rPr>
          <w:sz w:val="20"/>
          <w:szCs w:val="20"/>
        </w:rPr>
        <w:t>,</w:t>
      </w:r>
      <w:r w:rsidR="00867D17">
        <w:rPr>
          <w:sz w:val="20"/>
          <w:szCs w:val="20"/>
        </w:rPr>
        <w:t xml:space="preserve"> besides N-acyl amides, </w:t>
      </w:r>
      <w:r w:rsidR="00CF4EE3">
        <w:rPr>
          <w:sz w:val="20"/>
          <w:szCs w:val="20"/>
        </w:rPr>
        <w:t>g</w:t>
      </w:r>
      <w:r w:rsidR="00CF4EE3" w:rsidRPr="00C77BDB">
        <w:rPr>
          <w:sz w:val="20"/>
          <w:szCs w:val="20"/>
        </w:rPr>
        <w:t>astrointestinal bacteria</w:t>
      </w:r>
      <w:r w:rsidR="00867D17">
        <w:rPr>
          <w:sz w:val="20"/>
          <w:szCs w:val="20"/>
        </w:rPr>
        <w:t xml:space="preserve"> must have many other metabolites that mimic human signaling molecules</w:t>
      </w:r>
      <w:r w:rsidR="00CF4EE3">
        <w:rPr>
          <w:sz w:val="20"/>
          <w:szCs w:val="20"/>
        </w:rPr>
        <w:t xml:space="preserve"> in order to perform complex biological functions. Maybe we can conduct a large-scale functional review of signaling molecules secreted by g</w:t>
      </w:r>
      <w:r w:rsidR="00CF4EE3" w:rsidRPr="00C77BDB">
        <w:rPr>
          <w:sz w:val="20"/>
          <w:szCs w:val="20"/>
        </w:rPr>
        <w:t>astrointestinal bacteria</w:t>
      </w:r>
      <w:r w:rsidR="00E4322D">
        <w:rPr>
          <w:sz w:val="20"/>
          <w:szCs w:val="20"/>
        </w:rPr>
        <w:t xml:space="preserve"> and develop this microbiome-biosynthetic gene therapy.</w:t>
      </w:r>
    </w:p>
    <w:p w14:paraId="5BE47DAB" w14:textId="77777777" w:rsidR="00E4322D" w:rsidRPr="00E267EC" w:rsidRDefault="00E4322D" w:rsidP="00D004A4">
      <w:pPr>
        <w:spacing w:after="0" w:line="240" w:lineRule="auto"/>
        <w:ind w:firstLineChars="200" w:firstLine="400"/>
        <w:jc w:val="both"/>
        <w:rPr>
          <w:sz w:val="20"/>
          <w:szCs w:val="20"/>
        </w:rPr>
      </w:pPr>
    </w:p>
    <w:p w14:paraId="67B5FFCE" w14:textId="77777777" w:rsidR="00B05CB1" w:rsidRPr="004304CE" w:rsidRDefault="00D525C6" w:rsidP="001908B8">
      <w:pPr>
        <w:spacing w:after="0" w:line="240" w:lineRule="auto"/>
        <w:jc w:val="both"/>
        <w:rPr>
          <w:b/>
          <w:sz w:val="16"/>
          <w:szCs w:val="16"/>
        </w:rPr>
      </w:pPr>
      <w:r w:rsidRPr="004304CE">
        <w:rPr>
          <w:b/>
          <w:sz w:val="16"/>
          <w:szCs w:val="16"/>
        </w:rPr>
        <w:t>References</w:t>
      </w:r>
    </w:p>
    <w:p w14:paraId="4C237740" w14:textId="77777777" w:rsidR="009F2170" w:rsidRDefault="009F2170" w:rsidP="001908B8">
      <w:pPr>
        <w:spacing w:after="0" w:line="240" w:lineRule="auto"/>
        <w:jc w:val="both"/>
        <w:rPr>
          <w:sz w:val="16"/>
          <w:szCs w:val="16"/>
        </w:rPr>
      </w:pPr>
    </w:p>
    <w:p w14:paraId="07A29DEE" w14:textId="77777777" w:rsidR="005E2DCE" w:rsidRDefault="005E2DCE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  <w:r w:rsidRPr="005E2DCE">
        <w:rPr>
          <w:sz w:val="16"/>
          <w:szCs w:val="16"/>
        </w:rPr>
        <w:t xml:space="preserve">Cohen, Louis </w:t>
      </w:r>
      <w:proofErr w:type="gramStart"/>
      <w:r w:rsidRPr="005E2DCE">
        <w:rPr>
          <w:sz w:val="16"/>
          <w:szCs w:val="16"/>
        </w:rPr>
        <w:t>J. ,</w:t>
      </w:r>
      <w:proofErr w:type="gramEnd"/>
      <w:r w:rsidRPr="005E2DCE">
        <w:rPr>
          <w:sz w:val="16"/>
          <w:szCs w:val="16"/>
        </w:rPr>
        <w:t xml:space="preserve"> et al. "Functional metagenomic discovery of bacterial effectors in the human microbiome and isolation of </w:t>
      </w:r>
      <w:proofErr w:type="spellStart"/>
      <w:r w:rsidRPr="005E2DCE">
        <w:rPr>
          <w:sz w:val="16"/>
          <w:szCs w:val="16"/>
        </w:rPr>
        <w:t>commendamide</w:t>
      </w:r>
      <w:proofErr w:type="spellEnd"/>
      <w:r w:rsidRPr="005E2DCE">
        <w:rPr>
          <w:sz w:val="16"/>
          <w:szCs w:val="16"/>
        </w:rPr>
        <w:t xml:space="preserve">, a GPCR G2A/132 agonist." </w:t>
      </w:r>
      <w:r w:rsidRPr="005E2DCE">
        <w:rPr>
          <w:i/>
          <w:sz w:val="16"/>
          <w:szCs w:val="16"/>
        </w:rPr>
        <w:t>Proceedings of the National Academy of Sciences</w:t>
      </w:r>
      <w:r w:rsidRPr="005E2DCE">
        <w:rPr>
          <w:sz w:val="16"/>
          <w:szCs w:val="16"/>
        </w:rPr>
        <w:t xml:space="preserve"> (</w:t>
      </w:r>
      <w:r w:rsidRPr="005E2DCE">
        <w:rPr>
          <w:b/>
          <w:sz w:val="16"/>
          <w:szCs w:val="16"/>
        </w:rPr>
        <w:t>2015</w:t>
      </w:r>
      <w:r w:rsidRPr="005E2DCE">
        <w:rPr>
          <w:sz w:val="16"/>
          <w:szCs w:val="16"/>
        </w:rPr>
        <w:t xml:space="preserve">):201508737. </w:t>
      </w:r>
    </w:p>
    <w:p w14:paraId="04917879" w14:textId="77777777" w:rsidR="00A94FC6" w:rsidRDefault="00A94FC6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</w:p>
    <w:p w14:paraId="5BC77899" w14:textId="77777777" w:rsidR="005E2DCE" w:rsidRDefault="005E2DCE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  <w:proofErr w:type="spellStart"/>
      <w:r w:rsidRPr="005E2DCE">
        <w:rPr>
          <w:sz w:val="16"/>
          <w:szCs w:val="16"/>
        </w:rPr>
        <w:t>Cani</w:t>
      </w:r>
      <w:proofErr w:type="spellEnd"/>
      <w:r w:rsidRPr="005E2DCE">
        <w:rPr>
          <w:sz w:val="16"/>
          <w:szCs w:val="16"/>
        </w:rPr>
        <w:t xml:space="preserve">, Patrice </w:t>
      </w:r>
      <w:proofErr w:type="gramStart"/>
      <w:r w:rsidRPr="005E2DCE">
        <w:rPr>
          <w:sz w:val="16"/>
          <w:szCs w:val="16"/>
        </w:rPr>
        <w:t>D ,</w:t>
      </w:r>
      <w:proofErr w:type="gramEnd"/>
      <w:r w:rsidRPr="005E2DCE">
        <w:rPr>
          <w:sz w:val="16"/>
          <w:szCs w:val="16"/>
        </w:rPr>
        <w:t xml:space="preserve"> et al. "Endocannabinoids - at the crossroads between the gut microbiota and host metabolism." </w:t>
      </w:r>
      <w:r w:rsidRPr="005E2DCE">
        <w:rPr>
          <w:i/>
          <w:sz w:val="16"/>
          <w:szCs w:val="16"/>
        </w:rPr>
        <w:t>Nature Reviews Endocrinology</w:t>
      </w:r>
      <w:r w:rsidRPr="005E2DCE">
        <w:rPr>
          <w:sz w:val="16"/>
          <w:szCs w:val="16"/>
        </w:rPr>
        <w:t xml:space="preserve"> 12.3(</w:t>
      </w:r>
      <w:r w:rsidRPr="005E2DCE">
        <w:rPr>
          <w:b/>
          <w:sz w:val="16"/>
          <w:szCs w:val="16"/>
        </w:rPr>
        <w:t>2015</w:t>
      </w:r>
      <w:r w:rsidRPr="005E2DCE">
        <w:rPr>
          <w:sz w:val="16"/>
          <w:szCs w:val="16"/>
        </w:rPr>
        <w:t xml:space="preserve">):133. </w:t>
      </w:r>
    </w:p>
    <w:p w14:paraId="0E6A59BB" w14:textId="77777777" w:rsidR="005E2DCE" w:rsidRDefault="005E2DCE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</w:p>
    <w:p w14:paraId="21010DBD" w14:textId="77777777" w:rsidR="005E2DCE" w:rsidRDefault="005E2DCE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  <w:proofErr w:type="spellStart"/>
      <w:r w:rsidRPr="005E2DCE">
        <w:rPr>
          <w:sz w:val="16"/>
          <w:szCs w:val="16"/>
        </w:rPr>
        <w:t>PÃ¡l</w:t>
      </w:r>
      <w:proofErr w:type="spellEnd"/>
      <w:r w:rsidRPr="005E2DCE">
        <w:rPr>
          <w:sz w:val="16"/>
          <w:szCs w:val="16"/>
        </w:rPr>
        <w:t xml:space="preserve"> Pacher, and G. </w:t>
      </w:r>
      <w:proofErr w:type="spellStart"/>
      <w:proofErr w:type="gramStart"/>
      <w:r w:rsidRPr="005E2DCE">
        <w:rPr>
          <w:sz w:val="16"/>
          <w:szCs w:val="16"/>
        </w:rPr>
        <w:t>Kunos</w:t>
      </w:r>
      <w:proofErr w:type="spellEnd"/>
      <w:r w:rsidRPr="005E2DCE">
        <w:rPr>
          <w:sz w:val="16"/>
          <w:szCs w:val="16"/>
        </w:rPr>
        <w:t xml:space="preserve"> .</w:t>
      </w:r>
      <w:proofErr w:type="gramEnd"/>
      <w:r w:rsidRPr="005E2DCE">
        <w:rPr>
          <w:sz w:val="16"/>
          <w:szCs w:val="16"/>
        </w:rPr>
        <w:t xml:space="preserve"> "Modulating the endocannabinoid system in human health and disease</w:t>
      </w:r>
      <w:r>
        <w:rPr>
          <w:rFonts w:hint="eastAsia"/>
          <w:sz w:val="16"/>
          <w:szCs w:val="16"/>
          <w:lang w:eastAsia="zh-CN"/>
        </w:rPr>
        <w:t>—</w:t>
      </w:r>
      <w:r w:rsidRPr="005E2DCE">
        <w:rPr>
          <w:sz w:val="16"/>
          <w:szCs w:val="16"/>
        </w:rPr>
        <w:t xml:space="preserve">successes and failures." </w:t>
      </w:r>
      <w:proofErr w:type="spellStart"/>
      <w:r w:rsidRPr="005E2DCE">
        <w:rPr>
          <w:i/>
          <w:sz w:val="16"/>
          <w:szCs w:val="16"/>
        </w:rPr>
        <w:t>Febs</w:t>
      </w:r>
      <w:proofErr w:type="spellEnd"/>
      <w:r w:rsidRPr="005E2DCE">
        <w:rPr>
          <w:i/>
          <w:sz w:val="16"/>
          <w:szCs w:val="16"/>
        </w:rPr>
        <w:t xml:space="preserve"> Journal</w:t>
      </w:r>
      <w:r w:rsidRPr="005E2DCE">
        <w:rPr>
          <w:sz w:val="16"/>
          <w:szCs w:val="16"/>
        </w:rPr>
        <w:t xml:space="preserve"> 280.9(</w:t>
      </w:r>
      <w:r w:rsidRPr="005E2DCE">
        <w:rPr>
          <w:b/>
          <w:sz w:val="16"/>
          <w:szCs w:val="16"/>
        </w:rPr>
        <w:t>2013</w:t>
      </w:r>
      <w:r w:rsidRPr="005E2DCE">
        <w:rPr>
          <w:sz w:val="16"/>
          <w:szCs w:val="16"/>
        </w:rPr>
        <w:t>):1918-1943.</w:t>
      </w:r>
    </w:p>
    <w:p w14:paraId="4078C4FB" w14:textId="77777777" w:rsidR="00A94FC6" w:rsidRDefault="00A94FC6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</w:p>
    <w:p w14:paraId="7429A94C" w14:textId="77777777" w:rsidR="00A94FC6" w:rsidRDefault="00A94FC6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  <w:r w:rsidRPr="00A94FC6">
        <w:rPr>
          <w:sz w:val="16"/>
          <w:szCs w:val="16"/>
        </w:rPr>
        <w:t xml:space="preserve">Cohen, Louis </w:t>
      </w:r>
      <w:proofErr w:type="gramStart"/>
      <w:r w:rsidRPr="00A94FC6">
        <w:rPr>
          <w:sz w:val="16"/>
          <w:szCs w:val="16"/>
        </w:rPr>
        <w:t>J. ,</w:t>
      </w:r>
      <w:proofErr w:type="gramEnd"/>
      <w:r w:rsidRPr="00A94FC6">
        <w:rPr>
          <w:sz w:val="16"/>
          <w:szCs w:val="16"/>
        </w:rPr>
        <w:t xml:space="preserve"> et al. "Commensal bacteria make GPCR ligands that mimic human </w:t>
      </w:r>
      <w:proofErr w:type="spellStart"/>
      <w:r w:rsidRPr="00A94FC6">
        <w:rPr>
          <w:sz w:val="16"/>
          <w:szCs w:val="16"/>
        </w:rPr>
        <w:t>signalling</w:t>
      </w:r>
      <w:proofErr w:type="spellEnd"/>
      <w:r w:rsidRPr="00A94FC6">
        <w:rPr>
          <w:sz w:val="16"/>
          <w:szCs w:val="16"/>
        </w:rPr>
        <w:t xml:space="preserve"> molecules." </w:t>
      </w:r>
      <w:r w:rsidRPr="00A94FC6">
        <w:rPr>
          <w:i/>
          <w:sz w:val="16"/>
          <w:szCs w:val="16"/>
        </w:rPr>
        <w:t>Nature</w:t>
      </w:r>
      <w:r w:rsidRPr="00A94FC6">
        <w:rPr>
          <w:sz w:val="16"/>
          <w:szCs w:val="16"/>
        </w:rPr>
        <w:t>.</w:t>
      </w:r>
      <w:r>
        <w:rPr>
          <w:sz w:val="16"/>
          <w:szCs w:val="16"/>
        </w:rPr>
        <w:t xml:space="preserve"> (</w:t>
      </w:r>
      <w:r w:rsidRPr="00A94FC6">
        <w:rPr>
          <w:b/>
          <w:sz w:val="16"/>
          <w:szCs w:val="16"/>
        </w:rPr>
        <w:t>2017</w:t>
      </w:r>
      <w:r>
        <w:rPr>
          <w:sz w:val="16"/>
          <w:szCs w:val="16"/>
        </w:rPr>
        <w:t>)</w:t>
      </w:r>
      <w:r w:rsidRPr="00A94FC6">
        <w:t xml:space="preserve"> </w:t>
      </w:r>
      <w:r w:rsidRPr="00A94FC6">
        <w:rPr>
          <w:sz w:val="16"/>
          <w:szCs w:val="16"/>
        </w:rPr>
        <w:t>doi:10.1038/nature23874</w:t>
      </w:r>
    </w:p>
    <w:p w14:paraId="7D50B9D3" w14:textId="77777777" w:rsidR="00A94FC6" w:rsidRDefault="00A94FC6" w:rsidP="00A94FC6">
      <w:pPr>
        <w:spacing w:after="0" w:line="240" w:lineRule="auto"/>
        <w:ind w:left="320" w:hangingChars="200" w:hanging="320"/>
        <w:jc w:val="both"/>
        <w:rPr>
          <w:sz w:val="16"/>
          <w:szCs w:val="16"/>
        </w:rPr>
      </w:pPr>
    </w:p>
    <w:p w14:paraId="1CF5BF2D" w14:textId="77777777" w:rsidR="00751C05" w:rsidRDefault="00751C05" w:rsidP="00507EC4">
      <w:pPr>
        <w:spacing w:after="0" w:line="240" w:lineRule="auto"/>
        <w:ind w:left="720" w:hanging="720"/>
        <w:jc w:val="both"/>
        <w:rPr>
          <w:sz w:val="16"/>
          <w:szCs w:val="16"/>
        </w:rPr>
      </w:pPr>
    </w:p>
    <w:p w14:paraId="1AB3EE00" w14:textId="3E8137A2" w:rsidR="005E2DCE" w:rsidRDefault="00C263D8" w:rsidP="00507EC4">
      <w:pPr>
        <w:spacing w:after="0" w:line="240" w:lineRule="auto"/>
        <w:ind w:left="720" w:hanging="720"/>
        <w:jc w:val="both"/>
        <w:rPr>
          <w:b/>
          <w:sz w:val="16"/>
          <w:szCs w:val="16"/>
        </w:rPr>
      </w:pPr>
      <w:r w:rsidRPr="007344A4">
        <w:rPr>
          <w:rFonts w:hint="eastAsia"/>
          <w:b/>
          <w:sz w:val="16"/>
          <w:szCs w:val="16"/>
        </w:rPr>
        <w:t>F</w:t>
      </w:r>
      <w:r w:rsidRPr="007344A4">
        <w:rPr>
          <w:b/>
          <w:sz w:val="16"/>
          <w:szCs w:val="16"/>
        </w:rPr>
        <w:t>igure</w:t>
      </w:r>
      <w:r>
        <w:rPr>
          <w:b/>
          <w:sz w:val="16"/>
          <w:szCs w:val="16"/>
        </w:rPr>
        <w:t xml:space="preserve"> 1</w:t>
      </w:r>
    </w:p>
    <w:p w14:paraId="7E401698" w14:textId="77777777" w:rsidR="00C263D8" w:rsidRDefault="00C263D8" w:rsidP="00507EC4">
      <w:pPr>
        <w:spacing w:after="0" w:line="240" w:lineRule="auto"/>
        <w:ind w:left="720" w:hanging="720"/>
        <w:jc w:val="both"/>
        <w:rPr>
          <w:b/>
          <w:sz w:val="16"/>
          <w:szCs w:val="16"/>
        </w:rPr>
      </w:pPr>
    </w:p>
    <w:p w14:paraId="4FDA69F6" w14:textId="7BAFAFC3" w:rsidR="00C263D8" w:rsidRDefault="00C263D8" w:rsidP="00C263D8">
      <w:pPr>
        <w:spacing w:after="0" w:line="240" w:lineRule="auto"/>
        <w:ind w:left="720" w:hanging="720"/>
        <w:rPr>
          <w:b/>
          <w:sz w:val="16"/>
          <w:szCs w:val="16"/>
        </w:rPr>
      </w:pPr>
      <w:r>
        <w:rPr>
          <w:rFonts w:hint="eastAsia"/>
          <w:b/>
          <w:noProof/>
          <w:sz w:val="16"/>
          <w:szCs w:val="16"/>
        </w:rPr>
        <w:drawing>
          <wp:inline distT="0" distB="0" distL="0" distR="0" wp14:anchorId="3300C8DD" wp14:editId="6ED03883">
            <wp:extent cx="3129598" cy="174669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-acyl amid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057" cy="174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D76F" w14:textId="77777777" w:rsidR="00C263D8" w:rsidRDefault="00C263D8" w:rsidP="00C263D8">
      <w:pPr>
        <w:spacing w:after="0" w:line="240" w:lineRule="auto"/>
        <w:ind w:left="720" w:hanging="720"/>
        <w:rPr>
          <w:b/>
          <w:sz w:val="16"/>
          <w:szCs w:val="16"/>
        </w:rPr>
      </w:pPr>
    </w:p>
    <w:p w14:paraId="4FA5FF2B" w14:textId="03D8269A" w:rsidR="00C263D8" w:rsidRPr="007344A4" w:rsidRDefault="00C263D8" w:rsidP="007344A4">
      <w:pPr>
        <w:spacing w:after="0" w:line="240" w:lineRule="auto"/>
        <w:ind w:left="720"/>
        <w:rPr>
          <w:sz w:val="16"/>
          <w:szCs w:val="16"/>
          <w:lang w:eastAsia="zh-CN"/>
        </w:rPr>
      </w:pPr>
      <w:r w:rsidRPr="007344A4">
        <w:rPr>
          <w:rFonts w:hint="eastAsia"/>
          <w:sz w:val="16"/>
          <w:szCs w:val="16"/>
          <w:lang w:eastAsia="zh-CN"/>
        </w:rPr>
        <w:t xml:space="preserve">(a) </w:t>
      </w:r>
      <w:r w:rsidRPr="007344A4">
        <w:rPr>
          <w:sz w:val="16"/>
          <w:szCs w:val="16"/>
          <w:lang w:eastAsia="zh-CN"/>
        </w:rPr>
        <w:t xml:space="preserve">OEA; (b) 2-OG; (c) Oleoyl analogs of N-acyl </w:t>
      </w:r>
      <w:proofErr w:type="spellStart"/>
      <w:r w:rsidRPr="007344A4">
        <w:rPr>
          <w:sz w:val="16"/>
          <w:szCs w:val="16"/>
          <w:lang w:eastAsia="zh-CN"/>
        </w:rPr>
        <w:t>serinol</w:t>
      </w:r>
      <w:proofErr w:type="spellEnd"/>
    </w:p>
    <w:p w14:paraId="164DA289" w14:textId="4578988D" w:rsidR="00C263D8" w:rsidRPr="007344A4" w:rsidRDefault="00C263D8" w:rsidP="007344A4">
      <w:pPr>
        <w:spacing w:after="0" w:line="240" w:lineRule="auto"/>
        <w:ind w:left="720"/>
        <w:rPr>
          <w:rFonts w:hint="eastAsia"/>
          <w:sz w:val="16"/>
          <w:szCs w:val="16"/>
          <w:lang w:eastAsia="zh-CN"/>
        </w:rPr>
      </w:pPr>
      <w:r w:rsidRPr="007344A4">
        <w:rPr>
          <w:rFonts w:hint="eastAsia"/>
          <w:sz w:val="16"/>
          <w:szCs w:val="16"/>
          <w:lang w:eastAsia="zh-CN"/>
        </w:rPr>
        <w:t>T</w:t>
      </w:r>
      <w:r w:rsidRPr="007344A4">
        <w:rPr>
          <w:sz w:val="16"/>
          <w:szCs w:val="16"/>
          <w:lang w:eastAsia="zh-CN"/>
        </w:rPr>
        <w:t>hey have similar structures.</w:t>
      </w:r>
    </w:p>
    <w:sectPr w:rsidR="00C263D8" w:rsidRPr="007344A4" w:rsidSect="00E60B20">
      <w:headerReference w:type="default" r:id="rId12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F9BB6" w14:textId="77777777" w:rsidR="00540ABA" w:rsidRDefault="00540ABA" w:rsidP="00D92967">
      <w:pPr>
        <w:spacing w:after="0" w:line="240" w:lineRule="auto"/>
      </w:pPr>
      <w:r>
        <w:separator/>
      </w:r>
    </w:p>
  </w:endnote>
  <w:endnote w:type="continuationSeparator" w:id="0">
    <w:p w14:paraId="61BAC100" w14:textId="77777777" w:rsidR="00540ABA" w:rsidRDefault="00540ABA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0D6B77" w14:textId="77777777" w:rsidR="00282F71" w:rsidRPr="00282F71" w:rsidRDefault="00947C51" w:rsidP="00282F71">
        <w:pPr>
          <w:pStyle w:val="a5"/>
          <w:jc w:val="both"/>
          <w:rPr>
            <w:b/>
          </w:rPr>
        </w:pPr>
        <w:r>
          <w:t>2</w:t>
        </w:r>
        <w:r w:rsidR="00282F71">
          <w:rPr>
            <w:b/>
          </w:rPr>
          <w:t xml:space="preserve"> | </w:t>
        </w:r>
        <w:r w:rsidR="00C95715">
          <w:rPr>
            <w:rFonts w:asciiTheme="majorBidi" w:hAnsiTheme="majorBidi" w:cstheme="majorBidi"/>
            <w:sz w:val="18"/>
            <w:szCs w:val="18"/>
          </w:rPr>
          <w:t>©MRCMB 2019</w:t>
        </w:r>
        <w:r w:rsidR="00282F71" w:rsidRPr="002A6856">
          <w:rPr>
            <w:rFonts w:asciiTheme="majorBidi" w:hAnsiTheme="majorBidi" w:cstheme="majorBidi"/>
            <w:sz w:val="18"/>
            <w:szCs w:val="18"/>
          </w:rPr>
          <w:t>. All Rights Reserved.</w:t>
        </w:r>
        <w:r w:rsidR="00282F71">
          <w:rPr>
            <w:rFonts w:ascii="AdvPSSym" w:hAnsi="AdvPSSym" w:cs="AdvPSSym"/>
            <w:sz w:val="14"/>
            <w:szCs w:val="14"/>
          </w:rPr>
          <w:t xml:space="preserve"> </w:t>
        </w:r>
      </w:p>
      <w:p w14:paraId="72E0ACA3" w14:textId="77777777" w:rsidR="00282F71" w:rsidRDefault="00540ABA">
        <w:pPr>
          <w:pStyle w:val="a5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14:paraId="304BE572" w14:textId="77777777" w:rsidR="00E64ABB" w:rsidRDefault="00E64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5458F" w14:textId="77777777" w:rsidR="00540ABA" w:rsidRDefault="00540ABA" w:rsidP="00D92967">
      <w:pPr>
        <w:spacing w:after="0" w:line="240" w:lineRule="auto"/>
      </w:pPr>
      <w:r>
        <w:separator/>
      </w:r>
    </w:p>
  </w:footnote>
  <w:footnote w:type="continuationSeparator" w:id="0">
    <w:p w14:paraId="0879FF6D" w14:textId="77777777" w:rsidR="00540ABA" w:rsidRDefault="00540ABA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6979" w14:textId="77777777" w:rsidR="00EA1A10" w:rsidRPr="007A0FE9" w:rsidRDefault="00B03E0C" w:rsidP="00966B4A">
    <w:pPr>
      <w:pStyle w:val="a3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34DD75C3" wp14:editId="2EFB8153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2505D" w14:textId="77777777" w:rsidR="00282F71" w:rsidRDefault="00282F71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14:paraId="3FC1EA55" w14:textId="77777777" w:rsidR="005202BC" w:rsidRPr="00585BDC" w:rsidRDefault="008877B4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9C91F" w14:textId="77777777" w:rsidR="005202BC" w:rsidRDefault="00C95715">
                            <w:pPr>
                              <w:pStyle w:val="a3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D75C3"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" fillcolor="#e36c0a [2409]" stroked="f" strokecolor="white" strokeweight="1.5pt">
                <v:textbox>
                  <w:txbxContent>
                    <w:p w14:paraId="5CB2505D" w14:textId="77777777" w:rsidR="00282F71" w:rsidRDefault="00282F71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14:paraId="3FC1EA55" w14:textId="77777777" w:rsidR="005202BC" w:rsidRPr="00585BDC" w:rsidRDefault="008877B4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" fillcolor="#7f7f7f [1612]" stroked="f" strokecolor="white" strokeweight="2pt">
                <v:textbox>
                  <w:txbxContent>
                    <w:p w14:paraId="1069C91F" w14:textId="77777777" w:rsidR="005202BC" w:rsidRDefault="00C95715">
                      <w:pPr>
                        <w:pStyle w:val="a3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2019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 w:rsidR="00724E57"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A46C" w14:textId="77777777" w:rsidR="008E2B75" w:rsidRPr="008E2B75" w:rsidRDefault="008E2B75" w:rsidP="00BE5388">
    <w:pPr>
      <w:pStyle w:val="a3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 w:rsidR="00BE5388">
      <w:t xml:space="preserve"> </w:t>
    </w:r>
    <w:r w:rsidR="00BE5388">
      <w:rPr>
        <w:rFonts w:asciiTheme="majorBidi" w:hAnsiTheme="majorBidi" w:cstheme="majorBidi"/>
        <w:sz w:val="18"/>
        <w:szCs w:val="18"/>
      </w:rPr>
      <w:t>Volume: 1. Issue: 1 (2012) 1-3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43E59"/>
    <w:multiLevelType w:val="hybridMultilevel"/>
    <w:tmpl w:val="3BC424DE"/>
    <w:lvl w:ilvl="0" w:tplc="19540E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70C0DE6"/>
    <w:multiLevelType w:val="hybridMultilevel"/>
    <w:tmpl w:val="E5AEFC40"/>
    <w:lvl w:ilvl="0" w:tplc="996C41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7D6D121A"/>
    <w:multiLevelType w:val="hybridMultilevel"/>
    <w:tmpl w:val="FDDEDB30"/>
    <w:lvl w:ilvl="0" w:tplc="10828A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67"/>
    <w:rsid w:val="00003A30"/>
    <w:rsid w:val="00025480"/>
    <w:rsid w:val="000314C9"/>
    <w:rsid w:val="00040154"/>
    <w:rsid w:val="00040B38"/>
    <w:rsid w:val="000525D1"/>
    <w:rsid w:val="00072DCC"/>
    <w:rsid w:val="0007721E"/>
    <w:rsid w:val="00094BD1"/>
    <w:rsid w:val="000A422C"/>
    <w:rsid w:val="000A76B4"/>
    <w:rsid w:val="000C0E61"/>
    <w:rsid w:val="000C267D"/>
    <w:rsid w:val="000E3503"/>
    <w:rsid w:val="000E3599"/>
    <w:rsid w:val="000E4ABB"/>
    <w:rsid w:val="000F4909"/>
    <w:rsid w:val="00100120"/>
    <w:rsid w:val="001167CF"/>
    <w:rsid w:val="00126F81"/>
    <w:rsid w:val="00130E66"/>
    <w:rsid w:val="00133889"/>
    <w:rsid w:val="00143907"/>
    <w:rsid w:val="0015417E"/>
    <w:rsid w:val="001665E3"/>
    <w:rsid w:val="00166CB2"/>
    <w:rsid w:val="00166E2D"/>
    <w:rsid w:val="00172E77"/>
    <w:rsid w:val="001908B8"/>
    <w:rsid w:val="00190B6F"/>
    <w:rsid w:val="001A7FD0"/>
    <w:rsid w:val="001B0477"/>
    <w:rsid w:val="001B453E"/>
    <w:rsid w:val="001C0D3F"/>
    <w:rsid w:val="001F0A03"/>
    <w:rsid w:val="002040AA"/>
    <w:rsid w:val="00206776"/>
    <w:rsid w:val="002121E9"/>
    <w:rsid w:val="00264A3E"/>
    <w:rsid w:val="00282F71"/>
    <w:rsid w:val="00283657"/>
    <w:rsid w:val="00291A09"/>
    <w:rsid w:val="002A42D1"/>
    <w:rsid w:val="002A6856"/>
    <w:rsid w:val="002B79B5"/>
    <w:rsid w:val="002C1147"/>
    <w:rsid w:val="002C1793"/>
    <w:rsid w:val="002C3D22"/>
    <w:rsid w:val="002C73E3"/>
    <w:rsid w:val="002C7532"/>
    <w:rsid w:val="002F1F2B"/>
    <w:rsid w:val="0031333E"/>
    <w:rsid w:val="003447EA"/>
    <w:rsid w:val="00385C77"/>
    <w:rsid w:val="003B5A97"/>
    <w:rsid w:val="003F2149"/>
    <w:rsid w:val="003F3642"/>
    <w:rsid w:val="003F6ABD"/>
    <w:rsid w:val="00403CFC"/>
    <w:rsid w:val="004150F9"/>
    <w:rsid w:val="004304CE"/>
    <w:rsid w:val="00430CEC"/>
    <w:rsid w:val="00433BFE"/>
    <w:rsid w:val="004566DE"/>
    <w:rsid w:val="00470111"/>
    <w:rsid w:val="0047728C"/>
    <w:rsid w:val="0048477B"/>
    <w:rsid w:val="004906EB"/>
    <w:rsid w:val="004A5030"/>
    <w:rsid w:val="004B6177"/>
    <w:rsid w:val="004C2D65"/>
    <w:rsid w:val="004E0013"/>
    <w:rsid w:val="004E0E06"/>
    <w:rsid w:val="004E27C1"/>
    <w:rsid w:val="00507EC4"/>
    <w:rsid w:val="005167B7"/>
    <w:rsid w:val="005202BC"/>
    <w:rsid w:val="0053130B"/>
    <w:rsid w:val="00540ABA"/>
    <w:rsid w:val="00567194"/>
    <w:rsid w:val="00572BF0"/>
    <w:rsid w:val="00585B71"/>
    <w:rsid w:val="00585BDC"/>
    <w:rsid w:val="005A1C50"/>
    <w:rsid w:val="005B4CED"/>
    <w:rsid w:val="005D02CE"/>
    <w:rsid w:val="005D1DFD"/>
    <w:rsid w:val="005D2C82"/>
    <w:rsid w:val="005E0377"/>
    <w:rsid w:val="005E2DCE"/>
    <w:rsid w:val="006140AA"/>
    <w:rsid w:val="0065334E"/>
    <w:rsid w:val="0065377B"/>
    <w:rsid w:val="0065627F"/>
    <w:rsid w:val="0065636D"/>
    <w:rsid w:val="0067796A"/>
    <w:rsid w:val="006832DA"/>
    <w:rsid w:val="00683EB4"/>
    <w:rsid w:val="00687512"/>
    <w:rsid w:val="00691BD9"/>
    <w:rsid w:val="00697182"/>
    <w:rsid w:val="006A1864"/>
    <w:rsid w:val="006B2630"/>
    <w:rsid w:val="006C4FC1"/>
    <w:rsid w:val="006C7C55"/>
    <w:rsid w:val="006D19C2"/>
    <w:rsid w:val="006D2E11"/>
    <w:rsid w:val="006D6A23"/>
    <w:rsid w:val="006E03D2"/>
    <w:rsid w:val="006F5A84"/>
    <w:rsid w:val="00724E57"/>
    <w:rsid w:val="007344A4"/>
    <w:rsid w:val="00735121"/>
    <w:rsid w:val="007506D7"/>
    <w:rsid w:val="00751C05"/>
    <w:rsid w:val="007834B9"/>
    <w:rsid w:val="007A0FE9"/>
    <w:rsid w:val="007A1768"/>
    <w:rsid w:val="007A32D8"/>
    <w:rsid w:val="007A5CA6"/>
    <w:rsid w:val="007B14BA"/>
    <w:rsid w:val="007B5F9A"/>
    <w:rsid w:val="007C428B"/>
    <w:rsid w:val="007D27AD"/>
    <w:rsid w:val="007F0C26"/>
    <w:rsid w:val="007F246F"/>
    <w:rsid w:val="007F27FE"/>
    <w:rsid w:val="007F27FF"/>
    <w:rsid w:val="008208EA"/>
    <w:rsid w:val="0082144E"/>
    <w:rsid w:val="00833C89"/>
    <w:rsid w:val="008442CB"/>
    <w:rsid w:val="0085636F"/>
    <w:rsid w:val="0085796E"/>
    <w:rsid w:val="00866E43"/>
    <w:rsid w:val="00867D17"/>
    <w:rsid w:val="008877B4"/>
    <w:rsid w:val="00894C66"/>
    <w:rsid w:val="00897FEC"/>
    <w:rsid w:val="008B0CAC"/>
    <w:rsid w:val="008D0640"/>
    <w:rsid w:val="008E2B75"/>
    <w:rsid w:val="00907DDA"/>
    <w:rsid w:val="00914269"/>
    <w:rsid w:val="00914407"/>
    <w:rsid w:val="00932A3D"/>
    <w:rsid w:val="00940B47"/>
    <w:rsid w:val="00941E8C"/>
    <w:rsid w:val="009449EC"/>
    <w:rsid w:val="009450E7"/>
    <w:rsid w:val="00945CDC"/>
    <w:rsid w:val="00947C51"/>
    <w:rsid w:val="00956316"/>
    <w:rsid w:val="00966B4A"/>
    <w:rsid w:val="0098379B"/>
    <w:rsid w:val="00985DDF"/>
    <w:rsid w:val="00997CF4"/>
    <w:rsid w:val="009B2F13"/>
    <w:rsid w:val="009B6A60"/>
    <w:rsid w:val="009D0A71"/>
    <w:rsid w:val="009F2170"/>
    <w:rsid w:val="00A10D06"/>
    <w:rsid w:val="00A14226"/>
    <w:rsid w:val="00A22C89"/>
    <w:rsid w:val="00A259AD"/>
    <w:rsid w:val="00A31970"/>
    <w:rsid w:val="00A53B1A"/>
    <w:rsid w:val="00A64296"/>
    <w:rsid w:val="00A7413C"/>
    <w:rsid w:val="00A74A3A"/>
    <w:rsid w:val="00A80645"/>
    <w:rsid w:val="00A9323D"/>
    <w:rsid w:val="00A94FC6"/>
    <w:rsid w:val="00AB21F3"/>
    <w:rsid w:val="00AB5B9C"/>
    <w:rsid w:val="00AB76DB"/>
    <w:rsid w:val="00AD495D"/>
    <w:rsid w:val="00AF4343"/>
    <w:rsid w:val="00AF5B90"/>
    <w:rsid w:val="00B03E0C"/>
    <w:rsid w:val="00B05CB1"/>
    <w:rsid w:val="00B11DAC"/>
    <w:rsid w:val="00B347F4"/>
    <w:rsid w:val="00B60F0F"/>
    <w:rsid w:val="00B630E4"/>
    <w:rsid w:val="00B6550B"/>
    <w:rsid w:val="00B84DC1"/>
    <w:rsid w:val="00BC266E"/>
    <w:rsid w:val="00BC3A09"/>
    <w:rsid w:val="00BC43A2"/>
    <w:rsid w:val="00BC6C90"/>
    <w:rsid w:val="00BD55EE"/>
    <w:rsid w:val="00BE5388"/>
    <w:rsid w:val="00BF7401"/>
    <w:rsid w:val="00C10DF0"/>
    <w:rsid w:val="00C2455B"/>
    <w:rsid w:val="00C24CFA"/>
    <w:rsid w:val="00C263D8"/>
    <w:rsid w:val="00C3446E"/>
    <w:rsid w:val="00C54939"/>
    <w:rsid w:val="00C648F3"/>
    <w:rsid w:val="00C76B25"/>
    <w:rsid w:val="00C77BDB"/>
    <w:rsid w:val="00C92F5F"/>
    <w:rsid w:val="00C95715"/>
    <w:rsid w:val="00CA2C4E"/>
    <w:rsid w:val="00CA38DA"/>
    <w:rsid w:val="00CA429F"/>
    <w:rsid w:val="00CD11C0"/>
    <w:rsid w:val="00CD4C93"/>
    <w:rsid w:val="00CE08F1"/>
    <w:rsid w:val="00CE2848"/>
    <w:rsid w:val="00CE2B54"/>
    <w:rsid w:val="00CE5937"/>
    <w:rsid w:val="00CF4EE3"/>
    <w:rsid w:val="00D004A4"/>
    <w:rsid w:val="00D06DF1"/>
    <w:rsid w:val="00D13176"/>
    <w:rsid w:val="00D25E8C"/>
    <w:rsid w:val="00D26650"/>
    <w:rsid w:val="00D27295"/>
    <w:rsid w:val="00D37CE1"/>
    <w:rsid w:val="00D525C6"/>
    <w:rsid w:val="00D56610"/>
    <w:rsid w:val="00D573F2"/>
    <w:rsid w:val="00D63F72"/>
    <w:rsid w:val="00D740FD"/>
    <w:rsid w:val="00D77FC4"/>
    <w:rsid w:val="00D82504"/>
    <w:rsid w:val="00D876EC"/>
    <w:rsid w:val="00D92967"/>
    <w:rsid w:val="00D96E36"/>
    <w:rsid w:val="00DD1618"/>
    <w:rsid w:val="00DD59E9"/>
    <w:rsid w:val="00DE1534"/>
    <w:rsid w:val="00DE22C3"/>
    <w:rsid w:val="00E0264F"/>
    <w:rsid w:val="00E11B96"/>
    <w:rsid w:val="00E267EC"/>
    <w:rsid w:val="00E31C44"/>
    <w:rsid w:val="00E32BFF"/>
    <w:rsid w:val="00E4322D"/>
    <w:rsid w:val="00E5127B"/>
    <w:rsid w:val="00E5384F"/>
    <w:rsid w:val="00E53A10"/>
    <w:rsid w:val="00E540D2"/>
    <w:rsid w:val="00E543C9"/>
    <w:rsid w:val="00E55AE7"/>
    <w:rsid w:val="00E60B20"/>
    <w:rsid w:val="00E64ABB"/>
    <w:rsid w:val="00E76E04"/>
    <w:rsid w:val="00E82B93"/>
    <w:rsid w:val="00E87912"/>
    <w:rsid w:val="00EA13E5"/>
    <w:rsid w:val="00EA1A10"/>
    <w:rsid w:val="00EA750A"/>
    <w:rsid w:val="00EB1A7D"/>
    <w:rsid w:val="00EB2F8D"/>
    <w:rsid w:val="00EB3404"/>
    <w:rsid w:val="00EE07A1"/>
    <w:rsid w:val="00EF032E"/>
    <w:rsid w:val="00EF53CD"/>
    <w:rsid w:val="00EF6541"/>
    <w:rsid w:val="00F0070A"/>
    <w:rsid w:val="00F00CB1"/>
    <w:rsid w:val="00F063CA"/>
    <w:rsid w:val="00F16038"/>
    <w:rsid w:val="00F30160"/>
    <w:rsid w:val="00F4031A"/>
    <w:rsid w:val="00F438DD"/>
    <w:rsid w:val="00F50A1B"/>
    <w:rsid w:val="00F5790F"/>
    <w:rsid w:val="00F834E5"/>
    <w:rsid w:val="00FB120F"/>
    <w:rsid w:val="00FD6E38"/>
    <w:rsid w:val="00FE57D8"/>
    <w:rsid w:val="00FF1E69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6AB64"/>
  <w15:docId w15:val="{CFF9EFC8-DA1E-4B12-84E4-AA7B001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CB1"/>
  </w:style>
  <w:style w:type="paragraph" w:styleId="1">
    <w:name w:val="heading 1"/>
    <w:basedOn w:val="a"/>
    <w:link w:val="10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92967"/>
  </w:style>
  <w:style w:type="paragraph" w:styleId="a5">
    <w:name w:val="footer"/>
    <w:basedOn w:val="a"/>
    <w:link w:val="a6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92967"/>
  </w:style>
  <w:style w:type="paragraph" w:styleId="a7">
    <w:name w:val="Balloon Text"/>
    <w:basedOn w:val="a"/>
    <w:link w:val="a8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7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446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C263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2A69B3-D300-4C05-B125-9C91E070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戴 煜</cp:lastModifiedBy>
  <cp:revision>10</cp:revision>
  <dcterms:created xsi:type="dcterms:W3CDTF">2019-05-11T19:58:00Z</dcterms:created>
  <dcterms:modified xsi:type="dcterms:W3CDTF">2019-05-30T02:20:00Z</dcterms:modified>
</cp:coreProperties>
</file>